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jpeg" ContentType="image/jpeg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ekologija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261871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Dr. sc. Nina Popović, prof. struč. stud., Dr. sc. Zrinka Mesić, 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v. </w:t>
            </w:r>
            <w:r>
              <w:rPr>
                <w:rFonts w:cs="Calibri" w:ascii="Cambria" w:hAnsi="Cambria"/>
                <w:sz w:val="20"/>
                <w:lang w:val="hr-HR"/>
              </w:rPr>
              <w:t>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Prof. dr. sc. Đuro Huber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biologija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Upoznavanje studenata s osnovnim pojmovima vezanim uz ekologiju i ekološke sustave. Studenti će usvojiti znanja o funkcioniranju kopnenih i vodenih ekoloških sustava. Cilj je osposobiti studente za razumijevanje utjecaja čovjeka na ekološku ravnotežu. Osposobiti studente za korištenje osnovnih metoda i opreme za ekološka istraživanja.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– </w:t>
            </w:r>
            <w:r>
              <w:rPr>
                <w:rFonts w:cs="Calibri" w:ascii="Cambria" w:hAnsi="Cambria"/>
                <w:sz w:val="20"/>
                <w:lang w:val="hr-HR"/>
              </w:rPr>
              <w:t>6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– </w:t>
            </w:r>
            <w:r>
              <w:rPr>
                <w:rFonts w:cs="Calibri" w:ascii="Cambria" w:hAnsi="Cambria"/>
                <w:sz w:val="20"/>
                <w:lang w:val="hr-HR"/>
              </w:rPr>
              <w:t>6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Prisustvo na vježbama – 100%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693"/>
        <w:gridCol w:w="1135"/>
        <w:gridCol w:w="1275"/>
        <w:gridCol w:w="993"/>
        <w:gridCol w:w="993"/>
        <w:gridCol w:w="1841"/>
      </w:tblGrid>
      <w:tr>
        <w:trPr/>
        <w:tc>
          <w:tcPr>
            <w:tcW w:w="3543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13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Praktični rad </w:t>
            </w:r>
          </w:p>
        </w:tc>
        <w:tc>
          <w:tcPr>
            <w:tcW w:w="127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Seminarski rad</w:t>
            </w:r>
          </w:p>
        </w:tc>
        <w:tc>
          <w:tcPr>
            <w:tcW w:w="993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993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1841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Definirati temeljne pojmove vezane uz ekologiju i ekološke sustave.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2,5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abiotičke i biotičke ekološke čimbenike i mehanizme njihova djelovanja.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7,5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Objasniti strukturu zajednice i koncept bioraznolikosti.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tip bioma i fazu u sukcesiji zajednice. Prepoznati utjecaj čovjeka na sukcesije ekosustava.</w:t>
            </w: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 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 xml:space="preserve">Razlikovati vrste polutanata i osnovne mehanizme njihova djelovanja. 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Razlikovati kvalitativne i kvantitativne metode ekoloških istraživanja.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7,5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543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543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841"/>
        <w:gridCol w:w="1616"/>
        <w:gridCol w:w="1615"/>
        <w:gridCol w:w="1752"/>
        <w:gridCol w:w="944"/>
        <w:gridCol w:w="809"/>
      </w:tblGrid>
      <w:tr>
        <w:trPr/>
        <w:tc>
          <w:tcPr>
            <w:tcW w:w="269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6736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Predan herbarij. Prisustvo na terenskim vježbama.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61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752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94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80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Definirati temeljne pojmove vezane uz ekologiju i ekološke sustave.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abiotičke i biotičke ekološke čimbenike i mehanizme njihova djelovanja.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Objasniti strukturu zajednice i koncept bioraznolikosti.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tip bioma i fazu u sukcesiji zajednice. Prepoznati utjecaj čovjeka na sukcesije ekosustava.</w:t>
            </w: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 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 xml:space="preserve">Razlikovati vrste polutanata i osnovne mehanizme njihova djelovanja. 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Razlikovati kvalitativne i kvantitativne metode ekoloških istraživanja.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60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Definicija ekologije, osnovni ekološki pojmovi: biosfera, biociklus, biom, ekosustav, biotop, biocenoza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Upoznavanje s izvorima podataka iz ekologije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Ekološke piramide brojeva, biomase i energije, energija u ekosustavu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Pojam bioraznolikosti i važnost bioraznolikosti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Abiotički ekološki čimbenici: geokemijski ciklusi minerala (C, O, H, N, P), svjetlost, toplina, voda, kiselost (pH), tlak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- Akvatika - raznolikost slatkovodnih ekosustava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abundancija, socijabilnost, dominacija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Prostorno mjerilo i raznolikost.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Izračunavanje indeksa raznolikosti.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areal aktivnosti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Crna Mlaka – mjerilo i raznolikost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natalitet, mortalitet, biotički potencijal, uzrasna struktura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Primjeri ekoloških modela: dinamika populacije, interakcije vrsta, sukcesija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3, 4, 5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dinamika populacija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- Rijeka Drava i porječje Drave - Sukcesije biocenoza, klimaks zajednice. Biomi: akvatički  i terestički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Interakcije vrsta: intra- i interspecijske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Prostorna struktura zajednica: bioraznolikost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 – Prostorna struktura zajednica na primjeru vodenih staništa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Sukcesije biocenoza, klimaks zajednice. Biomi: akvatički  i terestički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 – Metode ekoloških istraživanja, Metode procjena veličine populacija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Utjecaji čovjeka na ekološku ravnotežu: izravni  i neizravni - polucija (tipovi onečišćavanja)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Drave: utjecaj čovjeka na ekosustave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Svjetska strategija zaštite okoliša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natalitet, mortalitet, biotički potencijal, uzrasna struktura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Metode ekoloških istraživanja: kvalitativna i kvantitativne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u NP Risnjak ili NP Plitvička jezera –Struktura šumskih zajednica, utjecaj čovjeka na sukcesije ekosustava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3-6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Populacija: Regulacija veličine. Međuodnos predator – plijen, uloga čovjeka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Izlaganje seminarskih radova studenata.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Populacije divljih životinja: osobitosti i kriteriji za održivo iskorištavanje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Izlaganje seminarskih radova studenata.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1-6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Osnovna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: 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Huber, Đ., Gomerčić, T., Kusak, J. (2015): Osnove ekologije. Sveučilišni udžbenik za studente veterinarske medicine. Veterinarski fakultet Sveučilišta u Zagrebu. 108 str.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Šolić, M. (2014) Ekologija populacija. Split, Institut za oceanografiju i ribarstvo.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Šolić, M. (2018) Ekologija zajednica i ekosustava. Zagreb, Golden marketing-Tehnička knjiga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Bioportal: http://www.bioportal.hr/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Invazivne vrste: http://www.invazivnevrste.hr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Crvene knjige i crveni popisi: http://www.haop.hr/hr/tematska-podrucja/prirodne-vrijednosti-stanje-i-ocuvanje/ugrozenost-vrsta-i-stanista/crveni-popisi</w:t>
            </w:r>
          </w:p>
          <w:p>
            <w:pPr>
              <w:pStyle w:val="ListParagraph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Dopunska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Krebs, C. J. (2009): Ecology. Pearson Education Inc., 655 str.</w:t>
            </w:r>
          </w:p>
          <w:p>
            <w:pPr>
              <w:pStyle w:val="ListParagraph"/>
              <w:widowControl w:val="false"/>
              <w:ind w:left="283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ListParagraph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jc w:val="both"/>
        <w:rPr>
          <w:rFonts w:ascii="Cambria" w:hAnsi="Cambria" w:cs="Calibri"/>
          <w:b/>
          <w:b/>
          <w:sz w:val="20"/>
          <w:lang w:val="hr-H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454" w:top="1134" w:footer="454" w:bottom="96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swiss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5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semiHidden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Hyperlink"/>
    <w:basedOn w:val="DefaultParagraphFont"/>
    <w:rsid w:val="003b307b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  <w:outlineLvl w:val="9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5350-311A-49AA-BC50-C37CE005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LibreOffice/7.4.7.2$Linux_X86_64 LibreOffice_project/40$Build-2</Application>
  <AppVersion>15.0000</AppVersion>
  <Pages>3</Pages>
  <Words>836</Words>
  <Characters>5247</Characters>
  <CharactersWithSpaces>5874</CharactersWithSpaces>
  <Paragraphs>232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2024-01-23T13:18:00Z</dcterms:created>
  <dc:creator>Borislav Josipović</dc:creator>
  <dc:description/>
  <dc:language>en-US</dc:language>
  <cp:lastModifiedBy/>
  <cp:lastPrinted>2023-05-22T17:27:00Z</cp:lastPrinted>
  <dcterms:modified xsi:type="dcterms:W3CDTF">2025-10-01T14:05:31Z</dcterms:modified>
  <cp:revision>17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