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Ekologija kopnenih voda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261881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 sc. Nina Popović, prof. struč. stud.</w:t>
            </w:r>
            <w:r>
              <w:rPr>
                <w:rFonts w:cs="Calibri" w:ascii="Cambria" w:hAnsi="Cambria"/>
                <w:color w:val="000000"/>
                <w:sz w:val="20"/>
                <w:lang w:val="hr-HR"/>
              </w:rPr>
              <w:t>; Dr. sc. Zrinka Mesić, v.pred.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color w:val="FF0000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ekologija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 predmeta je poučiti studente o ekološkim čimbenicima i njihovoj dinamici te bioraznolikosti u kopnenim vodama. Studenti će naučiti odabrati i koristiti osnovne metode praćenja stanja slatkovodnih ekosustava te će se upoznati s načinima gospodarenja te osnovnom legislativom za zaštitu kopnenih voda.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- 60%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- 60% 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7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"/>
        <w:gridCol w:w="2812"/>
        <w:gridCol w:w="1450"/>
        <w:gridCol w:w="1363"/>
        <w:gridCol w:w="1001"/>
        <w:gridCol w:w="2186"/>
      </w:tblGrid>
      <w:tr>
        <w:trPr/>
        <w:tc>
          <w:tcPr>
            <w:tcW w:w="3775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450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Kolokvij</w:t>
            </w:r>
          </w:p>
        </w:tc>
        <w:tc>
          <w:tcPr>
            <w:tcW w:w="1363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1001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2186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963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812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 xml:space="preserve">Objasniti abiotičke i biotičke čimbenike i njihove zavisnosti u kopnenim vodama   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63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812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Prepoznati osnovne elemente bioraznolikosti slatkovodnih ekosustava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11</w:t>
            </w:r>
          </w:p>
        </w:tc>
        <w:tc>
          <w:tcPr>
            <w:tcW w:w="218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  <w:bookmarkStart w:id="0" w:name="_GoBack"/>
            <w:bookmarkEnd w:id="0"/>
          </w:p>
        </w:tc>
      </w:tr>
      <w:tr>
        <w:trPr/>
        <w:tc>
          <w:tcPr>
            <w:tcW w:w="963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812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Primijeniti osnovne metode praćenja stanja slatkovodnih ekosustava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  <w:tc>
          <w:tcPr>
            <w:tcW w:w="218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63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812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Identificirati osnovne principe/metode gospodarenja, upravljanja, zaštite i obnove slatkovodnih ekosustava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63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812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Interpretirati osnovnu legislativu u HR i EU koja se primjenjuje na zaštitu slatkovodnih ekosustava (Direktiva o vodama)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77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17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775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4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36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62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1840"/>
        <w:gridCol w:w="1617"/>
        <w:gridCol w:w="1615"/>
        <w:gridCol w:w="1752"/>
        <w:gridCol w:w="1050"/>
        <w:gridCol w:w="900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6934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61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752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1050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900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 xml:space="preserve">Objasniti abiotičke i biotičke čimbenike i njihove zavisnosti u kopnenim vodama   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0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Prepoznati osnovne elemente bioraznolikosti slatkovodnih ekosustava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0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Primijeniti osnovne metode praćenja stanja slatkovodnih ekosustava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0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Identificirati osnovne principe/metode gospodarenja, upravljanja, zaštite i obnove slatkovodnih ekosustava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15</w:t>
            </w:r>
          </w:p>
        </w:tc>
        <w:tc>
          <w:tcPr>
            <w:tcW w:w="90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8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hr-HR" w:bidi="ar-SA"/>
              </w:rPr>
              <w:t>Interpretirati osnovnu legislativu u HR i EU koja se primjenjuje na zaštitu slatkovodnih ekosustava (Direktiva o vodama)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0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45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70</w:t>
            </w:r>
          </w:p>
        </w:tc>
        <w:tc>
          <w:tcPr>
            <w:tcW w:w="90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38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05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Ciklus vode  i svojstva vode. Slivno područje. </w:t>
            </w:r>
            <w:r>
              <w:rPr>
                <w:rFonts w:ascii="Cambria" w:hAnsi="Cambria"/>
                <w:sz w:val="20"/>
                <w:lang w:val="hr-HR"/>
              </w:rPr>
              <w:t xml:space="preserve">Fizikalno – kemijski parametri u slatkovodnim ekosustavima.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Definiranje kakvoće vode  i metode praćenja prema Direktivi o vodama.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Jezera i  druge vode stajaćice.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hidromorfoloških parametara.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Zajednice planktona i njihova uloga u ekosustavu stajaćica.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–alge i makrofita.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Karakteristike/čimbenici tekućica (hidrologija, slivno područje, pritoci, transport materijala).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–alge i makrofita.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Uloga bentoskih zajednica i perifitona u tekućicama.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 slatkovodnih ekosustava –životinje (do člankonožaca).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Pregled raznolikosti slatkovodnih ekosustava u Hrvatskoj.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(do mnogočetinaši,   desetonožni rakovi, rakušci).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Zonacija tekućica prema ribljim zajednicama.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(vodencvjetovi, obalčari, tulari).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Tipovi i razina antropogenog utjecaja na slatkovodne ekosustave.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(ostali kukci).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Revitalizacija slatkovodnih ekosustava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i praćenje stanja slatkovodnih ekosustava –životinje (ribe).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Upravljanje i gospodarenje slatkovodnim ekosustavima. Zakonodavna nadležnost.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Bioraznolikost slatkovodnih ekosustava –životinje (ostali kralješnjaci).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Slatkovodni ekosustavi i Natura 2000 (vrste i stanišni tipovi). Strane invazivne vrste u slatkovodnim ekosustavima.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Analiza fizikalno- kemijskih parametara -1.dio.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Metode održavanja slatkovodnih ekosustava i mjere zaštite slatkovodnih ekosustava.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Analiza fizikalno- kemijskih parametara - 2.dio.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Zakonodavna zaštita slatkovodnih ekosustava i Direktiva o vodama.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Mikrobiološka analiza mulja.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Zakonodavna zaštita slatkovodnih ekosustava i Direktiva o vodama – kakvoća voda stajaćica.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Sustav praćenja stanja na području EU i određivanje kakvoće vode stajaćica.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3-5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Zakonodavna zaštita slatkovodnih ekosustava i Direktiva o vodama – kakvoća voda tekućica.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Sustav praćenja stanja na području EU i određivanje kakvoće vode tekućica.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3-5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b/>
                <w:b/>
                <w:sz w:val="20"/>
                <w:lang w:val="hr-HR"/>
              </w:rPr>
            </w:pPr>
            <w:r>
              <w:rPr>
                <w:rFonts w:ascii="Cambria" w:hAnsi="Cambria"/>
                <w:b/>
                <w:sz w:val="20"/>
                <w:lang w:val="hr-HR"/>
              </w:rPr>
              <w:t xml:space="preserve">Osnovna: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mbria" w:hAnsi="Cambria"/>
                <w:sz w:val="20"/>
                <w:lang w:val="hr-HR"/>
              </w:rPr>
              <w:t xml:space="preserve">Habdija, I., </w:t>
            </w:r>
            <w:hyperlink r:id="rId2" w:tgtFrame="Biserka Primc-Habdija">
              <w:r>
                <w:rPr>
                  <w:rStyle w:val="ListLabel1"/>
                  <w:rFonts w:ascii="Cambria" w:hAnsi="Cambria"/>
                  <w:sz w:val="20"/>
                  <w:lang w:val="hr-HR"/>
                </w:rPr>
                <w:t>Primc-Habdija</w:t>
              </w:r>
            </w:hyperlink>
            <w:r>
              <w:rPr>
                <w:rFonts w:ascii="Cambria" w:hAnsi="Cambria"/>
                <w:sz w:val="20"/>
                <w:lang w:val="hr-HR"/>
              </w:rPr>
              <w:t>, B.  (2019</w:t>
            </w:r>
            <w:r>
              <w:rPr>
                <w:rFonts w:ascii="Cambria" w:hAnsi="Cambria"/>
                <w:bCs/>
                <w:sz w:val="20"/>
                <w:lang w:val="hr-HR"/>
              </w:rPr>
              <w:t>): Limnologija - Ekologija slatkih voda</w:t>
            </w:r>
            <w:r>
              <w:rPr>
                <w:rFonts w:ascii="Cambria" w:hAnsi="Cambria"/>
                <w:sz w:val="20"/>
                <w:lang w:val="hr-HR"/>
              </w:rPr>
              <w:t>. Ljevak</w:t>
            </w:r>
          </w:p>
          <w:p>
            <w:pPr>
              <w:pStyle w:val="Normal"/>
              <w:widowControl w:val="false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Dopunska</w:t>
            </w:r>
            <w:r>
              <w:rPr>
                <w:rFonts w:ascii="Cambria" w:hAnsi="Cambria"/>
                <w:sz w:val="20"/>
              </w:rPr>
              <w:t xml:space="preserve">: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Dobson, M., Frid, C., (2009): Ecology of Aquatic Systems. Oxford University Press</w:t>
            </w:r>
          </w:p>
        </w:tc>
      </w:tr>
    </w:tbl>
    <w:p>
      <w:pPr>
        <w:pStyle w:val="Normal"/>
        <w:jc w:val="both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605" cy="1606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606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.15pt;height:12.65pt;mso-wrap-distance-left:5.7pt;mso-wrap-distance-right:5.7pt;mso-wrap-distance-top:5.7pt;mso-wrap-distance-bottom:5.7pt;margin-top:5.7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3"/>
      <w:footerReference w:type="default" r:id="rId4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-33655</wp:posOffset>
              </wp:positionV>
              <wp:extent cx="6127115" cy="1270"/>
              <wp:effectExtent l="5080" t="5080" r="5080" b="5080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pt" to="483.45pt,-2.7pt" ID="Line 1" stroked="t" style="position:absolute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fals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Internet Link"/>
    <w:rPr>
      <w:color w:val="000080"/>
      <w:u w:val="single"/>
    </w:rPr>
  </w:style>
  <w:style w:type="character" w:styleId="ListLabel1">
    <w:name w:val="ListLabel 1"/>
    <w:qFormat/>
    <w:rPr>
      <w:rFonts w:ascii="Cambria" w:hAnsi="Cambria"/>
      <w:sz w:val="20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fals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jevak.hr/9113-biserka-primc-habdija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3E33-4C49-4FC6-B5DB-5531C7E6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LibreOffice/6.0.7.3$Windows_X86_64 LibreOffice_project/dc89aa7a9eabfd848af146d5086077aeed2ae4a5</Application>
  <Pages>3</Pages>
  <Words>728</Words>
  <Characters>4578</Characters>
  <CharactersWithSpaces>5166</CharactersWithSpaces>
  <Paragraphs>203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2024-01-23T14:04:00Z</dcterms:created>
  <dc:creator>Borislav Josipović</dc:creator>
  <dc:description/>
  <dc:language>en-US</dc:language>
  <cp:lastModifiedBy/>
  <cp:lastPrinted>2023-05-22T17:27:00Z</cp:lastPrinted>
  <dcterms:modified xsi:type="dcterms:W3CDTF">2025-10-02T16:25:35Z</dcterms:modified>
  <cp:revision>19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</Properties>
</file>