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Konzervacijska biologija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261190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pl-PL"/>
              </w:rPr>
              <w:t>Dr. sc. Nina Popović, prof. struč. stud.,</w:t>
            </w:r>
            <w:r>
              <w:rPr>
                <w:rFonts w:ascii="Cambria" w:hAnsi="Cambria"/>
                <w:sz w:val="20"/>
              </w:rPr>
              <w:t xml:space="preserve"> Dr. sc. </w:t>
            </w:r>
            <w:r>
              <w:rPr>
                <w:rFonts w:cs="Calibri" w:ascii="Cambria" w:hAnsi="Cambria"/>
                <w:sz w:val="20"/>
                <w:lang w:val="pl-PL"/>
              </w:rPr>
              <w:t xml:space="preserve">Zrinka Mesić, </w:t>
            </w:r>
            <w:r>
              <w:rPr>
                <w:rFonts w:cs="Calibri" w:ascii="Cambria" w:hAnsi="Cambria"/>
                <w:sz w:val="20"/>
                <w:lang w:val="pl-PL"/>
              </w:rPr>
              <w:t xml:space="preserve">v. </w:t>
            </w:r>
            <w:r>
              <w:rPr>
                <w:rFonts w:cs="Calibri" w:ascii="Cambria" w:hAnsi="Cambria"/>
                <w:sz w:val="20"/>
                <w:lang w:val="pl-PL"/>
              </w:rPr>
              <w:t xml:space="preserve">pred. 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000000"/>
                <w:sz w:val="20"/>
                <w:lang w:val="pl-PL" w:eastAsia="en-US"/>
              </w:rPr>
            </w:pPr>
            <w:r>
              <w:rPr>
                <w:rFonts w:cs="Calibri" w:ascii="Cambria" w:hAnsi="Cambria"/>
                <w:color w:val="000000"/>
                <w:sz w:val="20"/>
                <w:lang w:val="pl-PL" w:eastAsia="en-US"/>
              </w:rPr>
              <w:t>D</w:t>
            </w:r>
            <w:r>
              <w:rPr>
                <w:rFonts w:cs="Calibri" w:ascii="Cambria" w:hAnsi="Cambria"/>
                <w:color w:val="000000"/>
                <w:sz w:val="20"/>
                <w:lang w:val="pl-PL" w:eastAsia="en-US"/>
              </w:rPr>
              <w:t xml:space="preserve">r. sc. Biljana Janev Hutinec, pred.; </w:t>
            </w:r>
            <w:r>
              <w:rPr>
                <w:rFonts w:cs="Calibri" w:ascii="Cambria" w:hAnsi="Cambria"/>
                <w:color w:val="000000"/>
                <w:sz w:val="20"/>
                <w:lang w:val="pl-PL" w:eastAsia="en-US"/>
              </w:rPr>
              <w:t>D</w:t>
            </w:r>
            <w:r>
              <w:rPr>
                <w:rFonts w:cs="Calibri" w:ascii="Cambria" w:hAnsi="Cambria"/>
                <w:color w:val="000000"/>
                <w:sz w:val="20"/>
                <w:lang w:val="pl-PL" w:eastAsia="en-US"/>
              </w:rPr>
              <w:t>r.</w:t>
            </w:r>
            <w:r>
              <w:rPr>
                <w:rFonts w:cs="Calibri" w:ascii="Cambria" w:hAnsi="Cambria"/>
                <w:color w:val="000000"/>
                <w:sz w:val="20"/>
                <w:lang w:val="pl-PL" w:eastAsia="en-US"/>
              </w:rPr>
              <w:t xml:space="preserve"> </w:t>
            </w:r>
            <w:r>
              <w:rPr>
                <w:rFonts w:cs="Calibri" w:ascii="Cambria" w:hAnsi="Cambria"/>
                <w:color w:val="000000"/>
                <w:sz w:val="20"/>
                <w:lang w:val="pl-PL" w:eastAsia="en-US"/>
              </w:rPr>
              <w:t>sc. Mirna Mazija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Stručni prijediplomski 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6.5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Opća ekologija, Geobotanika, Mamalogija, Ornitologija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Program kolegija osposobljuje studenta prepoznati temeljne odrednice: konzervacijske biologije (zaštite prirode); bioraznolikosti na razini gena, populacija, vrsta, životnih zajednica; etička načela i sustav vrijednosti zaštite prirode; uzroke degradacije i gubljenja bioraznolikosti, te holističkog pristupa vrednovanju, zaštiti i očuvanju prirode.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7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75"/>
        <w:gridCol w:w="1612"/>
        <w:gridCol w:w="4388"/>
      </w:tblGrid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Prisustvo na predavanjima - 60%</w:t>
            </w:r>
          </w:p>
        </w:tc>
      </w:tr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21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</w:rPr>
              <w:t xml:space="preserve">Prisustvo na vježbama - 60% </w:t>
            </w:r>
          </w:p>
        </w:tc>
      </w:tr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24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Prisustvo na vježbama - 100%</w:t>
            </w:r>
          </w:p>
        </w:tc>
      </w:tr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Calibri" w:ascii="Cambria" w:hAnsi="Cambria"/>
                <w:sz w:val="20"/>
              </w:rPr>
              <w:t>Prisustvo na nastavi - 60%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77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1"/>
        <w:gridCol w:w="2593"/>
        <w:gridCol w:w="2209"/>
        <w:gridCol w:w="1162"/>
        <w:gridCol w:w="978"/>
        <w:gridCol w:w="1"/>
        <w:gridCol w:w="1870"/>
      </w:tblGrid>
      <w:tr>
        <w:trPr/>
        <w:tc>
          <w:tcPr>
            <w:tcW w:w="3554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2209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Seminarski rad</w:t>
            </w:r>
          </w:p>
        </w:tc>
        <w:tc>
          <w:tcPr>
            <w:tcW w:w="1162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978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Prolaz</w:t>
            </w:r>
          </w:p>
        </w:tc>
        <w:tc>
          <w:tcPr>
            <w:tcW w:w="1871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Vremenski okvir priznavanja ishoda</w:t>
            </w:r>
          </w:p>
        </w:tc>
      </w:tr>
      <w:tr>
        <w:trPr/>
        <w:tc>
          <w:tcPr>
            <w:tcW w:w="961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2593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Objasniti temeljne paradigme konzervacijske biologije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7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1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2593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Objasniti etičke zasade zaštite prirode i pridružiti im vrijednosni sustav 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7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1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2593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Objasniti glavne pojmove zaštite prirode i njihove definicije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7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1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2593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Razlikovati glavne probleme zaštite i očuvanja bioraznolikosti na razini gena, populacija, vrsta i životnih zajednica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 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97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  <w:tc>
          <w:tcPr>
            <w:tcW w:w="18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1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2593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Upotrijebiti jednostavne metode i tehnike za ocjenu stanja biološke raznolikosti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97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  <w:tc>
          <w:tcPr>
            <w:tcW w:w="18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1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2593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Razlikovati različite upravljačke opcije u zaštiti prirode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97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  <w:tc>
          <w:tcPr>
            <w:tcW w:w="18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1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7</w:t>
            </w:r>
          </w:p>
        </w:tc>
        <w:tc>
          <w:tcPr>
            <w:tcW w:w="2593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Prepoznati moguće utjecaje i ugroze na biološku raznolikost</w:t>
            </w: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97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  <w:tc>
          <w:tcPr>
            <w:tcW w:w="18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 xml:space="preserve">Tijekom </w:t>
            </w:r>
            <w:bookmarkStart w:id="0" w:name="_GoBack"/>
            <w:bookmarkEnd w:id="0"/>
            <w:r>
              <w:rPr>
                <w:rFonts w:cs="Calibri" w:ascii="Cambria" w:hAnsi="Cambria"/>
                <w:bCs/>
                <w:sz w:val="20"/>
                <w:lang w:val="hr-HR"/>
              </w:rPr>
              <w:t>akademske godine</w:t>
            </w:r>
          </w:p>
        </w:tc>
      </w:tr>
      <w:tr>
        <w:trPr/>
        <w:tc>
          <w:tcPr>
            <w:tcW w:w="3554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60</w:t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60</w:t>
            </w:r>
          </w:p>
        </w:tc>
        <w:tc>
          <w:tcPr>
            <w:tcW w:w="97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32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3554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7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1840"/>
        <w:gridCol w:w="1617"/>
        <w:gridCol w:w="1"/>
        <w:gridCol w:w="1543"/>
        <w:gridCol w:w="1525"/>
        <w:gridCol w:w="999"/>
        <w:gridCol w:w="1049"/>
      </w:tblGrid>
      <w:tr>
        <w:trPr/>
        <w:tc>
          <w:tcPr>
            <w:tcW w:w="2690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4" w:type="dxa"/>
            <w:gridSpan w:val="6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543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525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usmeni ispit</w:t>
            </w:r>
          </w:p>
        </w:tc>
        <w:tc>
          <w:tcPr>
            <w:tcW w:w="999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1049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Prolaz 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Objasniti temeljne paradigme konzervacijske biologije</w:t>
            </w:r>
          </w:p>
        </w:tc>
        <w:tc>
          <w:tcPr>
            <w:tcW w:w="15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Objasniti etičke zasade zaštite prirode i pridružiti im vrijednosni sustav </w:t>
            </w:r>
          </w:p>
        </w:tc>
        <w:tc>
          <w:tcPr>
            <w:tcW w:w="15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Objasniti glavne pojmove zaštite prirode i njihove definicije</w:t>
            </w:r>
          </w:p>
        </w:tc>
        <w:tc>
          <w:tcPr>
            <w:tcW w:w="15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Razlikovati glavne probleme zaštite i očuvanja bioraznolikosti na razini gena, populacija, vrsta i životnih zajednica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 </w:t>
            </w:r>
          </w:p>
        </w:tc>
        <w:tc>
          <w:tcPr>
            <w:tcW w:w="15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Upotrijebiti jednostavne metode i tehnike za ocjenu stanja biološke raznolikosti</w:t>
            </w:r>
          </w:p>
        </w:tc>
        <w:tc>
          <w:tcPr>
            <w:tcW w:w="15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Razlikovati različite upravljačke opcije u zaštiti prirode</w:t>
            </w:r>
          </w:p>
        </w:tc>
        <w:tc>
          <w:tcPr>
            <w:tcW w:w="15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7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Prepoznati moguće utjecaje i ugroze na biološku raznolikost</w:t>
            </w: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15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54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40</w:t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22</w:t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54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</w:t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1,5</w:t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Povijest i osobitosti zaštite prirode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Ocjena utjecaja zahvata na ekološku mrežu – postupak ocjene prihvatljivosti zahvata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1, 2, 3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Etika i vrijednosni sustav u zaštiti prirode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Analiza lokacije zahvata – izgradnja MaHE "Korana 1" – Karlovac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4, 5, 7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Metode za određivanje neposrednih i posrednih ekonomskih vrijednosti u zaštiti prirode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Ciljevi očuvanja ekološke mreže Natura 2000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Biološka raznolikost - određenje, mjerenje, izazovi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Mogući utjecaji zahvata na bioraznolikost i okoliš (vrste i stanišne tipove)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4, 5, 7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genetičke raznolikosti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Ocjena (značajnosti) utjecaja na ciljne vrste  i stanišne tipove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4, 5, 7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populacija i vrsta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Indeksi biološke raznolikosti u zaštiti prirode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staništa, ekosustava i krajobraza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Ekološki modeli u zaštiti prirode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Degradacija, fragmentacija i gubljenje staništa djelatnostima čovjeka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Inventarizacija i praćenje stanja biološke raznolikosti – standardizirani priručnici i obrasci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vodenih ekosustava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Inventarizacija leptira metodom transekta na istraživanom području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Slatkovodni ekosustavi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veličine populacije – metode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Morski ekosustavi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veličine populacije vretenaca na istraživanom području CMR metodom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podzemnih staništa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Izvještaj o određivanju veličine populacije na istraživanom području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Tipovi podzemnih ekosustava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Ocjena kakvoće travnjačkih staništa – planiranje pregleda stanja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Upravljanje ekosustavima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Popunjavanje obrasca za brzi pregled travnjaka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Upravljanje ekosustavima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  <w:lang w:val="hr-HR"/>
              </w:rPr>
              <w:t>Izvještaj o određivanju kakvoće travnjačkih staništa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360" w:hanging="0"/>
              <w:jc w:val="both"/>
              <w:rPr>
                <w:rFonts w:ascii="Cambria" w:hAnsi="Cambria"/>
                <w:b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Osnovna:</w:t>
            </w:r>
          </w:p>
          <w:p>
            <w:pPr>
              <w:pStyle w:val="Normal"/>
              <w:widowControl w:val="false"/>
              <w:ind w:left="360" w:hanging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Kutle, A. (1999): Biološka i krajobrazna razn. Hrv. Drž.uprava za zaš. prirode, Zagreb</w:t>
            </w:r>
          </w:p>
          <w:p>
            <w:pPr>
              <w:pStyle w:val="Normal"/>
              <w:widowControl w:val="false"/>
              <w:ind w:left="360" w:hanging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Državni zavod za zaštitu prirode (2014): Analiza stanja prirode u Republici Hrvatskoj za razdoblje 2008.-2012. DZZP (http://www.haop.hr/sites/default/files/uploads/dokumenti/06_integrirane/dokumenti/priroda/Analiza_stanja_prirode_u_RH_za%20razdoblje_2008-2012.pdf )</w:t>
            </w:r>
          </w:p>
          <w:p>
            <w:pPr>
              <w:pStyle w:val="Normal"/>
              <w:widowControl w:val="false"/>
              <w:ind w:left="360" w:hanging="0"/>
              <w:rPr/>
            </w:pPr>
            <w:r>
              <w:rPr>
                <w:rFonts w:ascii="Cambria" w:hAnsi="Cambria"/>
                <w:sz w:val="20"/>
              </w:rPr>
              <w:t xml:space="preserve">Bioportal: </w:t>
            </w:r>
            <w:hyperlink r:id="rId2">
              <w:r>
                <w:rPr>
                  <w:rStyle w:val="InternetLink"/>
                  <w:rFonts w:ascii="Cambria" w:hAnsi="Cambria"/>
                  <w:sz w:val="20"/>
                </w:rPr>
                <w:t>http://www.bioportal.hr/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r>
              <w:rPr>
                <w:rFonts w:ascii="Cambria" w:hAnsi="Cambria"/>
                <w:sz w:val="20"/>
              </w:rPr>
              <w:t xml:space="preserve">Invazivne vrste: </w:t>
            </w:r>
            <w:hyperlink r:id="rId3">
              <w:r>
                <w:rPr>
                  <w:rStyle w:val="InternetLink"/>
                  <w:rFonts w:ascii="Cambria" w:hAnsi="Cambria"/>
                  <w:sz w:val="20"/>
                </w:rPr>
                <w:t>http://www.invazivnevrste.hr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Crvene knjige i crveni popisi: </w:t>
            </w:r>
            <w:hyperlink r:id="rId4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http://www.haop.hr/hr/tematska-podrucja/prirodne-vrijednosti-stanje-i-ocuvanje/ugrozenost-vrsta-i-stanista/crveni-popisi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Priručnici za određivanje staništa: </w:t>
            </w:r>
            <w:hyperlink r:id="rId5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http://www.haop.hr/hr/tematska-podrucja/prirodne-vrijednosti-stanje-i-ocuvanje/stanista-i-ekosustavi/stanista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Ekološka mreža RH: </w:t>
            </w:r>
            <w:hyperlink r:id="rId6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http://www.haop.hr/hr/tematska-podrucja/odrzivo-koristenje-prirodnih-dobara-i-ekoloska-mreza/ekoloska-mreza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hyperlink r:id="rId7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http://www.haop.hr/sites/default/files/uploads/publications/2017-12/STRUCNE%20SMJERNICE%20-%20MALE%20HIDROELEKTRANE.pdf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hyperlink r:id="rId8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http://www.haop.hr/sites/default/files/uploads/publications/2017-12/STRUCNI%20PRIRUCNIK%20ZA%20PROCJENU%20UTJECAJA%20ZAHVATA%20NA%20VELIKE%20ZVIJERI.pdf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hyperlink r:id="rId9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http://www.haop.hr/sites/default/files/uploads/publications/2017-12/STRUCNE%20SMJERNICE%20-%20PROMETNA%20INFRASTRUKTURA.pdf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hyperlink r:id="rId10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http://www.haop.hr/sites/default/files/uploads/publications/2017-12/STRUCNE%20SMJERNICE%20-%20UPRAVLJANJE%20RIJEKAMA.pdf</w:t>
              </w:r>
            </w:hyperlink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Cambria" w:hAnsi="Cambria"/>
                <w:b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Dopunska:</w:t>
            </w:r>
          </w:p>
          <w:p>
            <w:pPr>
              <w:pStyle w:val="ListParagraph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Meffe, G.K., Carroll, C.R.</w:t>
            </w: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(1997): Principles of Conservation biology. Sinauer associates, London.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418" w:right="851" w:gutter="0" w:header="454" w:top="1134" w:footer="454" w:bottom="96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5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-32385</wp:posOffset>
              </wp:positionV>
              <wp:extent cx="6127750" cy="1905"/>
              <wp:effectExtent l="5080" t="5080" r="5080" b="5080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7920" cy="18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55pt" to="483.55pt,-2.45pt" ID="Line 1" stroked="t" o:allowincell="f" style="position:absolute;flip:y" wp14:anchorId="0D9D51D0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0065" w:type="dxa"/>
      <w:jc w:val="left"/>
      <w:tblInd w:w="-43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tru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semiHidden/>
    <w:qFormat/>
    <w:rsid w:val="00f33e02"/>
    <w:rPr>
      <w:rFonts w:ascii="Arial" w:hAnsi="Arial"/>
      <w:b/>
      <w:bCs/>
      <w:lang w:val="en-GB" w:eastAsia="en-US"/>
    </w:rPr>
  </w:style>
  <w:style w:type="character" w:styleId="InternetLink">
    <w:name w:val="Hyperlink"/>
    <w:unhideWhenUsed/>
    <w:rsid w:val="004c4839"/>
    <w:rPr>
      <w:color w:val="0563C1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tru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oportal.hr/" TargetMode="External"/><Relationship Id="rId3" Type="http://schemas.openxmlformats.org/officeDocument/2006/relationships/hyperlink" Target="http://www.invazivnevrste.hr/" TargetMode="External"/><Relationship Id="rId4" Type="http://schemas.openxmlformats.org/officeDocument/2006/relationships/hyperlink" Target="http://www.haop.hr/hr/tematska-podrucja/prirodne-vrijednosti-stanje-i-ocuvanje/ugrozenost-vrsta-i-stanista/crveni-popisi" TargetMode="External"/><Relationship Id="rId5" Type="http://schemas.openxmlformats.org/officeDocument/2006/relationships/hyperlink" Target="http://www.haop.hr/hr/tematska-podrucja/prirodne-vrijednosti-stanje-i-ocuvanje/stanista-i-ekosustavi/stanista" TargetMode="External"/><Relationship Id="rId6" Type="http://schemas.openxmlformats.org/officeDocument/2006/relationships/hyperlink" Target="http://www.haop.hr/hr/tematska-podrucja/odrzivo-koristenje-prirodnih-dobara-i-ekoloska-mreza/ekoloska-mreza" TargetMode="External"/><Relationship Id="rId7" Type="http://schemas.openxmlformats.org/officeDocument/2006/relationships/hyperlink" Target="http://www.haop.hr/sites/default/files/uploads/publications/2017-12/STRUCNE SMJERNICE - MALE HIDROELEKTRANE.pdf" TargetMode="External"/><Relationship Id="rId8" Type="http://schemas.openxmlformats.org/officeDocument/2006/relationships/hyperlink" Target="http://www.haop.hr/sites/default/files/uploads/publications/2017-12/STRUCNI PRIRUCNIK ZA PROCJENU UTJECAJA ZAHVATA NA VELIKE ZVIJERI.pdf" TargetMode="External"/><Relationship Id="rId9" Type="http://schemas.openxmlformats.org/officeDocument/2006/relationships/hyperlink" Target="http://www.haop.hr/sites/default/files/uploads/publications/2017-12/STRUCNE SMJERNICE - PROMETNA INFRASTRUKTURA.pdf" TargetMode="External"/><Relationship Id="rId10" Type="http://schemas.openxmlformats.org/officeDocument/2006/relationships/hyperlink" Target="http://www.haop.hr/sites/default/files/uploads/publications/2017-12/STRUCNE SMJERNICE - UPRAVLJANJE RIJEKAMA.pdf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0091E-F3F1-4291-B185-AB79708F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LibreOffice/7.4.7.2$Linux_X86_64 LibreOffice_project/40$Build-2</Application>
  <AppVersion>15.0000</AppVersion>
  <DocSecurity>0</DocSecurity>
  <Pages>4</Pages>
  <Words>760</Words>
  <Characters>5577</Characters>
  <CharactersWithSpaces>6141</CharactersWithSpaces>
  <Paragraphs>218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2024-01-23T14:29:00Z</dcterms:created>
  <dc:creator>Borislav Josipović</dc:creator>
  <dc:description/>
  <dc:language>hr-HR</dc:language>
  <cp:lastModifiedBy/>
  <cp:lastPrinted>2023-05-22T17:27:00Z</cp:lastPrinted>
  <dcterms:modified xsi:type="dcterms:W3CDTF">2025-10-01T15:07:24Z</dcterms:modified>
  <cp:revision>18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