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Ugroženi stanišni tipovi Natura 2000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261918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Dr. sc. Zrinka Mesić, 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v. </w:t>
            </w:r>
            <w:r>
              <w:rPr>
                <w:rFonts w:cs="Calibri" w:ascii="Cambria" w:hAnsi="Cambria"/>
                <w:sz w:val="20"/>
                <w:lang w:val="hr-HR"/>
              </w:rPr>
              <w:t>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000000"/>
                <w:sz w:val="20"/>
                <w:lang w:val="hr-HR"/>
              </w:rPr>
            </w:pP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Dr. sc. Nina Popović, prof. struč. stud.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2.5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 kolegija je upoznati studente sa sljedećim temama: pregled ugroženih staništa Hrvatske i EU, mjere zaštite i revitalizacije ugroženih i rijetkih stanišnih tipova te značaj staništa u okvirima europske legislative zaštite prirode.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>Prisustvo na predavanjima – 60%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>Prisustvo na vježbama –60%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>Prisustvo na vježbama – 60%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2096"/>
        <w:gridCol w:w="1"/>
        <w:gridCol w:w="2428"/>
        <w:gridCol w:w="1350"/>
        <w:gridCol w:w="1065"/>
        <w:gridCol w:w="1"/>
        <w:gridCol w:w="1871"/>
      </w:tblGrid>
      <w:tr>
        <w:trPr/>
        <w:tc>
          <w:tcPr>
            <w:tcW w:w="3058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242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Seminarski rad</w:t>
            </w:r>
          </w:p>
        </w:tc>
        <w:tc>
          <w:tcPr>
            <w:tcW w:w="135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65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187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Definirati pojam staništa i stanišnih tipova i navesti sustave klasifikacije staništa u Europi</w:t>
            </w:r>
          </w:p>
        </w:tc>
        <w:tc>
          <w:tcPr>
            <w:tcW w:w="24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Prepoznati staništa i upotrijebiti metode sakupljanja podataka o staništima</w:t>
            </w:r>
          </w:p>
        </w:tc>
        <w:tc>
          <w:tcPr>
            <w:tcW w:w="24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Prepoznati najizraženije razloge ugroženosti staništa</w:t>
            </w:r>
          </w:p>
        </w:tc>
        <w:tc>
          <w:tcPr>
            <w:tcW w:w="24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  <w:bookmarkStart w:id="0" w:name="_GoBack"/>
            <w:bookmarkEnd w:id="0"/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20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Klasificirati i opisati glavne tipove staništa u Hrvatskoj</w:t>
            </w:r>
          </w:p>
        </w:tc>
        <w:tc>
          <w:tcPr>
            <w:tcW w:w="24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Na primjeru objasniti mjere zaštite ugroženih i rijetkih stanišnih tipova i principe dobre ekološke obnove staništa</w:t>
            </w:r>
          </w:p>
        </w:tc>
        <w:tc>
          <w:tcPr>
            <w:tcW w:w="24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962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Sažeti i prezentirati usvojena saznanja kako bi mogli identificirati značaj staništa u okvirima europske legislative zaštite prirode</w:t>
            </w:r>
          </w:p>
        </w:tc>
        <w:tc>
          <w:tcPr>
            <w:tcW w:w="24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0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31</w:t>
            </w:r>
          </w:p>
        </w:tc>
        <w:tc>
          <w:tcPr>
            <w:tcW w:w="187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3058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242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3058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242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1.5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1841"/>
        <w:gridCol w:w="1616"/>
        <w:gridCol w:w="1"/>
        <w:gridCol w:w="1613"/>
        <w:gridCol w:w="1"/>
        <w:gridCol w:w="1277"/>
        <w:gridCol w:w="1176"/>
        <w:gridCol w:w="1049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3" w:type="dxa"/>
            <w:gridSpan w:val="7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614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277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1176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104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Definirati pojam staništa i stanišnih tipova i navesti sustave klasifikacije staništa u Europi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Prepoznati staništa i upotrijebiti metode sakupljanja podataka o staništima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Prepoznati najizraženije razloge ugroženosti staništa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Klasificirati i opisati glavne tipove staništa u Hrvatskoj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Na primjeru objasniti mjere zaštite ugroženih i rijetkih stanišnih tipova i principe dobre ekološke obnove staništa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50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Sažeti i prezentirati usvojena saznanja kako bi mogli identificirati značaj staništa u okvirima europske legislative zaštite prirode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2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22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40</w:t>
            </w:r>
          </w:p>
        </w:tc>
        <w:tc>
          <w:tcPr>
            <w:tcW w:w="104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22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61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Pojam staništa i stanišnih tipova.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Metodologija kartiranja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Nacionalna klasifikacija staništa RH i klasifikacija staništa Natura 2000.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Metodologija kartiranja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EUNIS klasifikacija staništa; Uzroci ugroženosti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Metodologija praćenja staništa – slatkovodna staništa, močvarna staništa, stijene i točila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es-ES"/>
              </w:rPr>
              <w:t>Površinske kopnene vode i močvarna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Metodologija praćenja staništa.</w:t>
            </w:r>
            <w:r>
              <w:rPr>
                <w:rFonts w:ascii="Cambria" w:hAnsi="Cambria"/>
                <w:b/>
                <w:sz w:val="20"/>
              </w:rPr>
              <w:t xml:space="preserve"> –</w:t>
            </w:r>
            <w:r>
              <w:rPr>
                <w:rFonts w:ascii="Cambria" w:hAnsi="Cambria"/>
                <w:bCs/>
                <w:sz w:val="20"/>
              </w:rPr>
              <w:t xml:space="preserve"> travnjaci, šume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en-US"/>
              </w:rPr>
              <w:t>Neobrasle i slabo obrasle kopnene površine.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slatkovodnih staništa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Travnjaci, cretovi, visoke zeleni i šikare.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staništa stijena i točila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es-ES"/>
              </w:rPr>
              <w:t>Šumska staništa – 1. dio.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cretova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es-ES"/>
              </w:rPr>
              <w:t>Šumska staništa – 2. dio.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travnjačkih  staništa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Morska obala, more i kompleksi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travnjačkih  staništa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Podzemna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šumskih staništa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Kultivirane nešumske površine i staništa s korovnom i ruderalnom vegetacijom; Izgrađena i industrijska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šumskih staništa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 xml:space="preserve">Kartiranje staništa – metode daljinskih istraživanja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kartiranje staništa, praćenje staništa i mjere zaštite staništa šikara i grmlja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 xml:space="preserve">Kartiranje staništa – metode daljinskih istraživanja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Terenske vježbe – revitalizacija ugroženih staništa 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it-IT"/>
              </w:rPr>
              <w:t>Mjere zaštite ugroženih i rijetkih stanišnih tipova.</w:t>
            </w:r>
            <w:r>
              <w:rPr>
                <w:rFonts w:ascii="Cambria" w:hAnsi="Cambria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Izlaganje seminarskih radova studenata.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Revitalizacija ugroženih staništa.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Izlaganje seminarskih radova studenata.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Osnovna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: 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Topić J., Ilijanić Lj., Tvrtković N., Nikolić T. (2006): Staništa – Priručnik za inventarizaciju, kartiranje i praćenje stanja. Državni zavod za zaštitu prirode, Zagreb.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Bakran-Petricioli T. (2011): Priručnik za određivanje morskih staništa u Hrvatskoj prema Direktivi o staništima EU, Državni zavod za zaštitu prirode, Zagreb.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Gottstein S. (2010): Priručnik za određivanje podzemnih staništa u Hrvatskoj prema Direktivi o staništima EU, Državni zavod za zaštitu prirode, Zagreb.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Vucić M., Sučić I., Jelić D. (2017): New distribution data for Alburnus sava Bogutskaya, Zupančič, Jelić, Diripasko &amp; Naseka, 2017 and Telestes souffia (Risso, 1827) in the Western Balkans. Croatian Journal of Fisheries 75: 137-142.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Vukelić J., Mikac S., Baričević D., Bakšić D., Rosavec, R. (2008): Šumska staništa i šumske zajednice u Hrvatskoj – Nacionalna ekološka mreža. Državni zavod za zaštitu prirode, Zagreb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Radović, J. i sur. (ur.) (2009): Biološka raznolikost Hrvatske. DZZP, Ministarstvo kulture RH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Nacionalna klasifikacija staništa Republike Hrvatske (IV. nadopunjena verzija). (http://www.haop.hr/sites/default/files/uploads/dokumenti/2017-12/Nacionalna%20klasifikacija%20stanista_IVverzija.pdf, pristupljeno 24.01.2018.)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Alegro A., Bogdanović S., Brana S., Jasprica N., Katalinić A., Kovačić S., Nikolić T., Milović M., Pandža M., Posavec-Vukelić V., Randi, M., Ruščić M., Šegota V., Šincek D., Topić J., Vrbek M., Vuković N. (2010): Botanički važna područja Hrvatske. Školska knjiga, Prirodoslovno-matematički fakultet, Zagreb.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Antonić O., Kušan V., Jelaska S., Bukovec D., Križan J., Bakran-Petricioli T., Gottstein-Matočec S., Pernar R., Hečimović Ž., Janeković I., Grgurić Z., Hatić D., Major Z., Mrvoš D., Peternel H., Petricioli D., Tklačec S. (2005): Kartiranje staništa Republike Hrvatske (2000. - 2004.), Drypis, 1.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Bardi  A., Papini  P.,  Quaglino E.,  Biondi  E.,  Topić  J., Milović  M.,  Pandža  M.,  Kaligarič M., Oriolo  G., Roland V.,  Batina A., Kirin T.  (2016):  Karta  prirodnih  i  poluprirodnih  ne-šumskih kopnenih i slatkovodnih staništa Republike Hrvatske. AGRISTUDIO s.r.l., TEMI S.r.l., TIMESIS S.r.l., HAOP.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ascii="Cambria" w:hAnsi="Cambria"/>
                <w:b/>
                <w:b/>
                <w:bCs/>
                <w:sz w:val="20"/>
                <w:u w:val="single"/>
                <w:lang w:val="de-DE"/>
              </w:rPr>
            </w:pPr>
            <w:r>
              <w:rPr>
                <w:rFonts w:ascii="Cambria" w:hAnsi="Cambria"/>
                <w:b/>
                <w:bCs/>
                <w:sz w:val="20"/>
                <w:lang w:val="de-DE"/>
              </w:rPr>
              <w:t>Dopunska: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 w:before="0" w:after="1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Pravilnik o popisu stanišnih tipova, karti staništa te ugroženim i rijetkim stanišnim tipovima (NN 88/14)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Uredba o ekološkoj mreži i nadležnostima javnih ustanova za upravljanje područjima ekološke mreže (NN 80/19)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gutter="0" w:header="454" w:top="1134" w:footer="454" w:bottom="96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-33655</wp:posOffset>
              </wp:positionV>
              <wp:extent cx="6127115" cy="635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20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65pt" to="483.5pt,-2.6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006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fals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fals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B303-369E-4DCB-BCD4-49D35C3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LibreOffice/7.4.7.2$Linux_X86_64 LibreOffice_project/40$Build-2</Application>
  <AppVersion>15.0000</AppVersion>
  <DocSecurity>0</DocSecurity>
  <Pages>4</Pages>
  <Words>992</Words>
  <Characters>6194</Characters>
  <CharactersWithSpaces>7069</CharactersWithSpaces>
  <Paragraphs>195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2024-01-24T11:10:00Z</dcterms:created>
  <dc:creator>Borislav Josipović</dc:creator>
  <dc:description/>
  <dc:language>hr-HR</dc:language>
  <cp:lastModifiedBy/>
  <cp:lastPrinted>2023-05-22T17:27:00Z</cp:lastPrinted>
  <dcterms:modified xsi:type="dcterms:W3CDTF">2025-10-01T14:57:54Z</dcterms:modified>
  <cp:revision>18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