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1B75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Opći podaci o kolegiju</w:t>
      </w:r>
    </w:p>
    <w:tbl>
      <w:tblPr>
        <w:tblStyle w:val="12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5850"/>
      </w:tblGrid>
      <w:tr w14:paraId="3BC6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31" w:type="dxa"/>
            <w:shd w:val="clear" w:color="auto" w:fill="auto"/>
            <w:vAlign w:val="center"/>
          </w:tcPr>
          <w:p w14:paraId="60FBB7D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vAlign w:val="center"/>
          </w:tcPr>
          <w:p w14:paraId="33C8DC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Zaštita okoliša i gospodarenje otpadom</w:t>
            </w:r>
          </w:p>
        </w:tc>
      </w:tr>
      <w:tr w14:paraId="5E3C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shd w:val="clear" w:color="auto" w:fill="auto"/>
            <w:vAlign w:val="center"/>
          </w:tcPr>
          <w:p w14:paraId="2787305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vAlign w:val="center"/>
          </w:tcPr>
          <w:p w14:paraId="0855CA4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ILV406</w:t>
            </w:r>
          </w:p>
        </w:tc>
      </w:tr>
      <w:tr w14:paraId="3354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shd w:val="clear" w:color="auto" w:fill="auto"/>
            <w:vAlign w:val="center"/>
          </w:tcPr>
          <w:p w14:paraId="33E259B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vAlign w:val="center"/>
          </w:tcPr>
          <w:p w14:paraId="0D98A091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nasl.doc.dr.sc. Sandra Zavadlav, prof.struč.stud.</w:t>
            </w:r>
          </w:p>
        </w:tc>
      </w:tr>
      <w:tr w14:paraId="6560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shd w:val="clear" w:color="auto" w:fill="auto"/>
            <w:vAlign w:val="center"/>
          </w:tcPr>
          <w:p w14:paraId="67631F8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color w:val="FF0000"/>
                <w:sz w:val="20"/>
                <w:lang w:val="hr-HR"/>
              </w:rPr>
              <w:t>-</w:t>
            </w:r>
          </w:p>
        </w:tc>
      </w:tr>
      <w:tr w14:paraId="6B83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shd w:val="clear" w:color="auto" w:fill="auto"/>
            <w:vAlign w:val="center"/>
          </w:tcPr>
          <w:p w14:paraId="458FFC8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vAlign w:val="center"/>
          </w:tcPr>
          <w:p w14:paraId="3FD8641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14:paraId="499A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vAlign w:val="center"/>
          </w:tcPr>
          <w:p w14:paraId="4B1287B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</w:tcPr>
          <w:p w14:paraId="20ED45C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4.0</w:t>
            </w:r>
          </w:p>
        </w:tc>
      </w:tr>
      <w:tr w14:paraId="044A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vAlign w:val="center"/>
          </w:tcPr>
          <w:p w14:paraId="55053D1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</w:tcPr>
          <w:p w14:paraId="4505A2FA">
            <w:pPr>
              <w:autoSpaceDE w:val="0"/>
              <w:autoSpaceDN w:val="0"/>
              <w:adjustRightInd w:val="0"/>
              <w:rPr>
                <w:rFonts w:hint="default"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hint="default" w:ascii="Times New Roman" w:hAnsi="Times New Roman"/>
                <w:sz w:val="20"/>
                <w:lang w:val="hr-HR"/>
              </w:rPr>
              <w:t>V</w:t>
            </w:r>
            <w:bookmarkStart w:id="0" w:name="_GoBack"/>
            <w:bookmarkEnd w:id="0"/>
          </w:p>
        </w:tc>
      </w:tr>
      <w:tr w14:paraId="73F9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vAlign w:val="center"/>
          </w:tcPr>
          <w:p w14:paraId="6B87DC2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</w:tcPr>
          <w:p w14:paraId="5614B8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Opća ekologija i zooekologija,</w:t>
            </w:r>
          </w:p>
        </w:tc>
      </w:tr>
      <w:tr w14:paraId="160F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vAlign w:val="center"/>
          </w:tcPr>
          <w:p w14:paraId="664148B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</w:tcPr>
          <w:p w14:paraId="718F006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osposobiti studente za razumijevanje teoretske osnove zaštite okoliša i gospodarenja otpadom s ciljem umanjenja rizika za održanje gospodarskog razvoja i zahtjeva održivosti života na Zemlji. Studenti će moći primijeniti stečena znanja na sve druge kolegije s obzirom da je zaštita okoliša i gospodarenje otpadom direktno involvirana u sve segmente razvoja tehnologija. Također će steći i posebna znanja i iskustva za praktičnu primjenu načela sprječavanja onečišćenja okoliša osobito s stanovišta pravilnog gospodarenja otpadom.</w:t>
            </w:r>
          </w:p>
        </w:tc>
      </w:tr>
    </w:tbl>
    <w:p w14:paraId="5F91E7BA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Style w:val="12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418"/>
        <w:gridCol w:w="4394"/>
      </w:tblGrid>
      <w:tr w14:paraId="08DE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shd w:val="clear" w:color="auto" w:fill="D9D9D9"/>
            <w:vAlign w:val="center"/>
          </w:tcPr>
          <w:p w14:paraId="21A49D38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14:paraId="5F9C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9" w:type="dxa"/>
            <w:vAlign w:val="center"/>
          </w:tcPr>
          <w:p w14:paraId="5CD1A99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6DC58B6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predavanjima - 60%</w:t>
            </w:r>
          </w:p>
        </w:tc>
      </w:tr>
      <w:tr w14:paraId="14C5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vAlign w:val="center"/>
          </w:tcPr>
          <w:p w14:paraId="14358C8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14:paraId="5B249D1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- 60%</w:t>
            </w:r>
          </w:p>
        </w:tc>
      </w:tr>
      <w:tr w14:paraId="5371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vAlign w:val="center"/>
          </w:tcPr>
          <w:p w14:paraId="67BFC1F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14:paraId="45A9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vAlign w:val="center"/>
          </w:tcPr>
          <w:p w14:paraId="323A138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terenskim vježbama - 100%</w:t>
            </w:r>
          </w:p>
        </w:tc>
      </w:tr>
      <w:tr w14:paraId="177C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vAlign w:val="center"/>
          </w:tcPr>
          <w:p w14:paraId="162B279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Ostalo: seminar</w:t>
            </w:r>
          </w:p>
        </w:tc>
        <w:tc>
          <w:tcPr>
            <w:tcW w:w="1418" w:type="dxa"/>
            <w:vAlign w:val="center"/>
          </w:tcPr>
          <w:p w14:paraId="109AFB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vAlign w:val="center"/>
          </w:tcPr>
          <w:p w14:paraId="24A33B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- 80%</w:t>
            </w:r>
          </w:p>
        </w:tc>
      </w:tr>
      <w:tr w14:paraId="1A09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shd w:val="clear" w:color="auto" w:fill="D9D9D9"/>
            <w:vAlign w:val="center"/>
          </w:tcPr>
          <w:p w14:paraId="31601B0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728446D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Praćenje rada studenata i provjere znanja tijekom nastavnog procesa</w:t>
      </w:r>
    </w:p>
    <w:tbl>
      <w:tblPr>
        <w:tblStyle w:val="23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38"/>
        <w:gridCol w:w="972"/>
        <w:gridCol w:w="972"/>
        <w:gridCol w:w="975"/>
        <w:gridCol w:w="1361"/>
        <w:gridCol w:w="598"/>
        <w:gridCol w:w="944"/>
        <w:gridCol w:w="810"/>
        <w:gridCol w:w="1316"/>
      </w:tblGrid>
      <w:tr w14:paraId="0016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2"/>
            <w:shd w:val="pct12" w:color="auto" w:fill="auto"/>
            <w:vAlign w:val="center"/>
          </w:tcPr>
          <w:p w14:paraId="0D17E48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Usmeni kolokvij 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Usmeni kolokvij 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seminar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879" w:type="dxa"/>
            <w:shd w:val="pct12" w:color="auto" w:fill="auto"/>
            <w:vAlign w:val="center"/>
          </w:tcPr>
          <w:p w14:paraId="5F349A7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14:paraId="20F0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pct10" w:color="auto" w:fill="auto"/>
            <w:vAlign w:val="center"/>
          </w:tcPr>
          <w:p w14:paraId="78D8CA2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  <w:shd w:val="clear" w:color="auto" w:fill="auto"/>
          </w:tcPr>
          <w:p w14:paraId="3B6DA50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I1:</w:t>
            </w:r>
            <w:permStart w:id="0" w:edGrp="everyone"/>
            <w:r>
              <w:rPr>
                <w:rFonts w:ascii="Times New Roman" w:hAnsi="Times New Roman"/>
                <w:sz w:val="20"/>
              </w:rPr>
              <w:t xml:space="preserve"> Opisati osnovne pojmove zaštite okoliša i</w:t>
            </w:r>
            <w:permEnd w:id="0"/>
          </w:p>
        </w:tc>
        <w:tc>
          <w:tcPr>
            <w:tcW w:w="616" w:type="dxa"/>
            <w:vAlign w:val="center"/>
          </w:tcPr>
          <w:p w14:paraId="2FD003A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616" w:type="dxa"/>
            <w:vAlign w:val="center"/>
          </w:tcPr>
          <w:p w14:paraId="5A29CC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4" w:type="dxa"/>
            <w:vAlign w:val="center"/>
          </w:tcPr>
          <w:p w14:paraId="5F47E80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879" w:type="dxa"/>
            <w:vAlign w:val="center"/>
          </w:tcPr>
          <w:p w14:paraId="491760F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Dvije akademske godine</w:t>
            </w:r>
          </w:p>
        </w:tc>
      </w:tr>
      <w:tr w14:paraId="20B5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pct10" w:color="auto" w:fill="auto"/>
            <w:vAlign w:val="center"/>
          </w:tcPr>
          <w:p w14:paraId="55DECEA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  <w:shd w:val="clear" w:color="auto" w:fill="auto"/>
          </w:tcPr>
          <w:p w14:paraId="2EB372A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I2:</w:t>
            </w:r>
            <w:permStart w:id="1" w:edGrp="everyone"/>
            <w:r>
              <w:rPr>
                <w:rFonts w:ascii="Times New Roman" w:hAnsi="Times New Roman"/>
                <w:sz w:val="20"/>
              </w:rPr>
              <w:t xml:space="preserve"> Poznavati izvor, vrste i načine  onečišćavanja okoliša te način uspostave katastra onečišćenja prirode i okoliša i</w:t>
            </w:r>
            <w:permEnd w:id="1"/>
          </w:p>
        </w:tc>
        <w:tc>
          <w:tcPr>
            <w:tcW w:w="616" w:type="dxa"/>
            <w:vAlign w:val="center"/>
          </w:tcPr>
          <w:p w14:paraId="5FAA8A9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616" w:type="dxa"/>
            <w:vAlign w:val="center"/>
          </w:tcPr>
          <w:p w14:paraId="2C93F6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4" w:type="dxa"/>
            <w:vAlign w:val="center"/>
          </w:tcPr>
          <w:p w14:paraId="56F00E1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879" w:type="dxa"/>
            <w:vAlign w:val="center"/>
          </w:tcPr>
          <w:p w14:paraId="7F349E9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Dvije akademske godine</w:t>
            </w:r>
          </w:p>
        </w:tc>
      </w:tr>
      <w:tr w14:paraId="36E1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pct10" w:color="auto" w:fill="auto"/>
            <w:vAlign w:val="center"/>
          </w:tcPr>
          <w:p w14:paraId="63D2A06D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  <w:shd w:val="clear" w:color="auto" w:fill="auto"/>
          </w:tcPr>
          <w:p w14:paraId="5B0078C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Times New Roman" w:hAnsi="Times New Roman"/>
                <w:sz w:val="20"/>
              </w:rPr>
              <w:t xml:space="preserve"> Opisati nacionalne i europske politike i strategije zaštite okoliša</w:t>
            </w:r>
          </w:p>
        </w:tc>
        <w:tc>
          <w:tcPr>
            <w:tcW w:w="616" w:type="dxa"/>
            <w:vAlign w:val="center"/>
          </w:tcPr>
          <w:p w14:paraId="22616F2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616" w:type="dxa"/>
            <w:vAlign w:val="center"/>
          </w:tcPr>
          <w:p w14:paraId="0EF136A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4" w:type="dxa"/>
            <w:vAlign w:val="center"/>
          </w:tcPr>
          <w:p w14:paraId="35CEB38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879" w:type="dxa"/>
            <w:vAlign w:val="center"/>
          </w:tcPr>
          <w:p w14:paraId="7280163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Dvije akademske godine</w:t>
            </w:r>
          </w:p>
        </w:tc>
      </w:tr>
      <w:tr w14:paraId="396A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pct10" w:color="auto" w:fill="auto"/>
            <w:vAlign w:val="center"/>
          </w:tcPr>
          <w:p w14:paraId="7C584B9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97" w:type="dxa"/>
            <w:shd w:val="clear" w:color="auto" w:fill="auto"/>
          </w:tcPr>
          <w:p w14:paraId="4F8D5DA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I4:</w:t>
            </w:r>
            <w:permStart w:id="2" w:edGrp="everyone"/>
            <w:r>
              <w:rPr>
                <w:rFonts w:ascii="Times New Roman" w:hAnsi="Times New Roman"/>
                <w:sz w:val="20"/>
              </w:rPr>
              <w:t xml:space="preserve"> Razumjeti različite pristupe gospodarenja otpadom </w:t>
            </w:r>
            <w:permEnd w:id="2"/>
          </w:p>
        </w:tc>
        <w:tc>
          <w:tcPr>
            <w:tcW w:w="616" w:type="dxa"/>
            <w:vAlign w:val="center"/>
          </w:tcPr>
          <w:p w14:paraId="6258DB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616" w:type="dxa"/>
            <w:vAlign w:val="center"/>
          </w:tcPr>
          <w:p w14:paraId="7017CB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4" w:type="dxa"/>
            <w:vAlign w:val="center"/>
          </w:tcPr>
          <w:p w14:paraId="462F182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879" w:type="dxa"/>
            <w:vAlign w:val="center"/>
          </w:tcPr>
          <w:p w14:paraId="31DAFEB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Dvije akademske godine</w:t>
            </w:r>
          </w:p>
        </w:tc>
      </w:tr>
      <w:tr w14:paraId="3902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pct10" w:color="auto" w:fill="auto"/>
            <w:vAlign w:val="center"/>
          </w:tcPr>
          <w:p w14:paraId="55293B1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  <w:shd w:val="clear" w:color="auto" w:fill="auto"/>
          </w:tcPr>
          <w:p w14:paraId="333E63A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I5:</w:t>
            </w:r>
            <w:permStart w:id="3" w:edGrp="everyone"/>
            <w:r>
              <w:rPr>
                <w:rFonts w:ascii="Times New Roman" w:hAnsi="Times New Roman"/>
                <w:sz w:val="20"/>
              </w:rPr>
              <w:t xml:space="preserve"> Razlikovati metode pročišćavanja otpadnih voda, dimnih i ispušnih plinova te zbrinjavanje nusprodukata animalnog podrijetla </w:t>
            </w:r>
            <w:permEnd w:id="3"/>
          </w:p>
        </w:tc>
        <w:tc>
          <w:tcPr>
            <w:tcW w:w="616" w:type="dxa"/>
            <w:vAlign w:val="center"/>
          </w:tcPr>
          <w:p w14:paraId="29CD591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616" w:type="dxa"/>
            <w:vAlign w:val="center"/>
          </w:tcPr>
          <w:p w14:paraId="60BA0EC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616" w:type="dxa"/>
            <w:vAlign w:val="center"/>
          </w:tcPr>
          <w:p w14:paraId="6587A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30%</w:t>
            </w:r>
          </w:p>
        </w:tc>
        <w:tc>
          <w:tcPr>
            <w:tcW w:w="814" w:type="dxa"/>
            <w:vAlign w:val="center"/>
          </w:tcPr>
          <w:p w14:paraId="2462515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879" w:type="dxa"/>
            <w:vAlign w:val="center"/>
          </w:tcPr>
          <w:p w14:paraId="5CD6D6F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Dvije akademske godine</w:t>
            </w:r>
          </w:p>
        </w:tc>
      </w:tr>
      <w:tr w14:paraId="20FB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pct10" w:color="auto" w:fill="auto"/>
            <w:vAlign w:val="center"/>
          </w:tcPr>
          <w:p w14:paraId="4AC6481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</w:tcPr>
          <w:p w14:paraId="169B3B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Times New Roman" w:hAnsi="Times New Roman"/>
                <w:sz w:val="20"/>
              </w:rPr>
              <w:t xml:space="preserve"> Razložiti gospodarenje posebnim kategorijama otpada, te pripravnost u slučaju iznenadnih događaja kao i ostale mjere i način gospodarenja otpadom po načelu smanjenja količina i opasnih svojstava</w:t>
            </w:r>
          </w:p>
        </w:tc>
        <w:tc>
          <w:tcPr>
            <w:tcW w:w="616" w:type="dxa"/>
            <w:vAlign w:val="center"/>
          </w:tcPr>
          <w:p w14:paraId="33C7DB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616" w:type="dxa"/>
            <w:vAlign w:val="center"/>
          </w:tcPr>
          <w:p w14:paraId="6357F48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616" w:type="dxa"/>
            <w:vAlign w:val="center"/>
          </w:tcPr>
          <w:p w14:paraId="404DCBB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30%</w:t>
            </w:r>
          </w:p>
        </w:tc>
        <w:tc>
          <w:tcPr>
            <w:tcW w:w="814" w:type="dxa"/>
            <w:vAlign w:val="center"/>
          </w:tcPr>
          <w:p w14:paraId="43D08F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879" w:type="dxa"/>
            <w:vAlign w:val="center"/>
          </w:tcPr>
          <w:p w14:paraId="332802A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Dvije akademske godine</w:t>
            </w:r>
          </w:p>
        </w:tc>
      </w:tr>
      <w:tr w14:paraId="6B25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pct10" w:color="auto" w:fill="auto"/>
            <w:vAlign w:val="center"/>
          </w:tcPr>
          <w:p w14:paraId="247D00A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097" w:type="dxa"/>
          </w:tcPr>
          <w:p w14:paraId="5252E3AD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A8EFE6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AC2994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67FD75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1742F0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13D930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B1212A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F621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96396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14:paraId="6CF1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6D578312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616" w:type="dxa"/>
            <w:vAlign w:val="center"/>
          </w:tcPr>
          <w:p w14:paraId="5A84337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616" w:type="dxa"/>
            <w:vAlign w:val="center"/>
          </w:tcPr>
          <w:p w14:paraId="1CB806E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616" w:type="dxa"/>
            <w:vAlign w:val="center"/>
          </w:tcPr>
          <w:p w14:paraId="5AED59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616" w:type="dxa"/>
            <w:vAlign w:val="center"/>
          </w:tcPr>
          <w:p w14:paraId="5E9A18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40</w:t>
            </w:r>
          </w:p>
        </w:tc>
        <w:tc>
          <w:tcPr>
            <w:tcW w:w="616" w:type="dxa"/>
            <w:vAlign w:val="center"/>
          </w:tcPr>
          <w:p w14:paraId="1C3BA31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4" w:type="dxa"/>
            <w:vAlign w:val="center"/>
          </w:tcPr>
          <w:p w14:paraId="77ED11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14:paraId="0DDF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7379F50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616" w:type="dxa"/>
            <w:vAlign w:val="center"/>
          </w:tcPr>
          <w:p w14:paraId="37E7DE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616" w:type="dxa"/>
            <w:vAlign w:val="center"/>
          </w:tcPr>
          <w:p w14:paraId="55519B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0,25</w:t>
            </w:r>
          </w:p>
        </w:tc>
        <w:tc>
          <w:tcPr>
            <w:tcW w:w="616" w:type="dxa"/>
            <w:vAlign w:val="center"/>
          </w:tcPr>
          <w:p w14:paraId="36C5353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0,75</w:t>
            </w:r>
          </w:p>
        </w:tc>
        <w:tc>
          <w:tcPr>
            <w:tcW w:w="616" w:type="dxa"/>
            <w:vAlign w:val="center"/>
          </w:tcPr>
          <w:p w14:paraId="469644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616" w:type="dxa"/>
            <w:vAlign w:val="center"/>
          </w:tcPr>
          <w:p w14:paraId="4D4F354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814" w:type="dxa"/>
            <w:vAlign w:val="center"/>
          </w:tcPr>
          <w:p w14:paraId="594187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23"/>
        <w:tblW w:w="942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14:paraId="19D4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gridSpan w:val="2"/>
            <w:shd w:val="pct12" w:color="auto" w:fill="auto"/>
            <w:vAlign w:val="center"/>
          </w:tcPr>
          <w:p w14:paraId="1F145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14:paraId="7F44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gridSpan w:val="3"/>
            <w:shd w:val="pct12" w:color="auto" w:fill="auto"/>
            <w:vAlign w:val="center"/>
          </w:tcPr>
          <w:p w14:paraId="0DF1717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14:paraId="14DE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pct10" w:color="auto" w:fill="auto"/>
            <w:vAlign w:val="center"/>
          </w:tcPr>
          <w:p w14:paraId="0AED2C4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  <w:shd w:val="clear" w:color="auto" w:fill="auto"/>
          </w:tcPr>
          <w:p w14:paraId="6DAD7EE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I1:</w:t>
            </w:r>
            <w:permStart w:id="4" w:edGrp="everyone"/>
            <w:r>
              <w:rPr>
                <w:rFonts w:ascii="Times New Roman" w:hAnsi="Times New Roman"/>
                <w:sz w:val="20"/>
              </w:rPr>
              <w:t xml:space="preserve"> Opisati osnovne pojmove zaštite okoliša i</w:t>
            </w:r>
            <w:permEnd w:id="4"/>
          </w:p>
        </w:tc>
        <w:tc>
          <w:tcPr>
            <w:tcW w:w="1615" w:type="dxa"/>
            <w:vAlign w:val="center"/>
          </w:tcPr>
          <w:p w14:paraId="47C8C6A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44" w:type="dxa"/>
            <w:vAlign w:val="center"/>
          </w:tcPr>
          <w:p w14:paraId="41111C1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0" w:type="dxa"/>
            <w:vAlign w:val="center"/>
          </w:tcPr>
          <w:p w14:paraId="48703CF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14:paraId="11AC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pct10" w:color="auto" w:fill="auto"/>
            <w:vAlign w:val="center"/>
          </w:tcPr>
          <w:p w14:paraId="48E529D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  <w:shd w:val="clear" w:color="auto" w:fill="auto"/>
          </w:tcPr>
          <w:p w14:paraId="2A0B56A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I2:</w:t>
            </w:r>
            <w:permStart w:id="5" w:edGrp="everyone"/>
            <w:r>
              <w:rPr>
                <w:rFonts w:ascii="Times New Roman" w:hAnsi="Times New Roman"/>
                <w:sz w:val="20"/>
              </w:rPr>
              <w:t xml:space="preserve"> Poznavati izvor, vrste i načine  onečišćavanja okoliša te način uspostave katastra onečišćenja prirode i okoliša i</w:t>
            </w:r>
            <w:permEnd w:id="5"/>
          </w:p>
        </w:tc>
        <w:tc>
          <w:tcPr>
            <w:tcW w:w="1615" w:type="dxa"/>
            <w:vAlign w:val="center"/>
          </w:tcPr>
          <w:p w14:paraId="1A82674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44" w:type="dxa"/>
            <w:vAlign w:val="center"/>
          </w:tcPr>
          <w:p w14:paraId="178137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0" w:type="dxa"/>
            <w:vAlign w:val="center"/>
          </w:tcPr>
          <w:p w14:paraId="5341782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14:paraId="75E9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pct10" w:color="auto" w:fill="auto"/>
            <w:vAlign w:val="center"/>
          </w:tcPr>
          <w:p w14:paraId="1EF0C95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  <w:shd w:val="clear" w:color="auto" w:fill="auto"/>
          </w:tcPr>
          <w:p w14:paraId="0F9BACD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Times New Roman" w:hAnsi="Times New Roman"/>
                <w:sz w:val="20"/>
              </w:rPr>
              <w:t xml:space="preserve"> Opisati nacionalne i europske politike i strategije zaštite okoliša</w:t>
            </w:r>
          </w:p>
        </w:tc>
        <w:tc>
          <w:tcPr>
            <w:tcW w:w="1615" w:type="dxa"/>
            <w:vAlign w:val="center"/>
          </w:tcPr>
          <w:p w14:paraId="16682D2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747822E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10" w:type="dxa"/>
            <w:vAlign w:val="center"/>
          </w:tcPr>
          <w:p w14:paraId="3FDF55C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14:paraId="4569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pct10" w:color="auto" w:fill="auto"/>
            <w:vAlign w:val="center"/>
          </w:tcPr>
          <w:p w14:paraId="1AF3E72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  <w:shd w:val="clear" w:color="auto" w:fill="auto"/>
          </w:tcPr>
          <w:p w14:paraId="06057E7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I4:</w:t>
            </w:r>
            <w:permStart w:id="6" w:edGrp="everyone"/>
            <w:r>
              <w:rPr>
                <w:rFonts w:ascii="Times New Roman" w:hAnsi="Times New Roman"/>
                <w:sz w:val="20"/>
              </w:rPr>
              <w:t xml:space="preserve"> Razumjeti različite pristupe gospodarenja otpadom </w:t>
            </w:r>
            <w:permEnd w:id="6"/>
          </w:p>
        </w:tc>
        <w:tc>
          <w:tcPr>
            <w:tcW w:w="1615" w:type="dxa"/>
            <w:vAlign w:val="center"/>
          </w:tcPr>
          <w:p w14:paraId="19F764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42E9082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051D786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10" w:type="dxa"/>
            <w:vAlign w:val="center"/>
          </w:tcPr>
          <w:p w14:paraId="569FA42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14:paraId="1289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pct10" w:color="auto" w:fill="auto"/>
            <w:vAlign w:val="center"/>
          </w:tcPr>
          <w:p w14:paraId="7EAAA26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  <w:shd w:val="clear" w:color="auto" w:fill="auto"/>
          </w:tcPr>
          <w:p w14:paraId="608D4A0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I5:</w:t>
            </w:r>
            <w:permStart w:id="7" w:edGrp="everyone"/>
            <w:r>
              <w:rPr>
                <w:rFonts w:ascii="Times New Roman" w:hAnsi="Times New Roman"/>
                <w:sz w:val="20"/>
              </w:rPr>
              <w:t xml:space="preserve"> Razlikovati metode pročišćavanja otpadnih voda, dimnih i ispušnih plinova te zbrinjavanje nusprodukata animalnog podrijetla </w:t>
            </w:r>
            <w:permEnd w:id="7"/>
          </w:p>
        </w:tc>
        <w:tc>
          <w:tcPr>
            <w:tcW w:w="1615" w:type="dxa"/>
            <w:vAlign w:val="center"/>
          </w:tcPr>
          <w:p w14:paraId="732557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4DD10D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10" w:type="dxa"/>
            <w:vAlign w:val="center"/>
          </w:tcPr>
          <w:p w14:paraId="67F3E4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14:paraId="2ECD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pct10" w:color="auto" w:fill="auto"/>
            <w:vAlign w:val="center"/>
          </w:tcPr>
          <w:p w14:paraId="2F8DB2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Times New Roman" w:hAnsi="Times New Roman"/>
                <w:sz w:val="20"/>
              </w:rPr>
              <w:t xml:space="preserve"> Razložiti gospodarenje posebnim kategorijama otpada, te pripravnost u slučaju iznenadnih događaja kao i ostale mjere i način gospodarenja otpadom po načelu smanjenja količina i opasnih svojstava</w:t>
            </w:r>
          </w:p>
        </w:tc>
        <w:tc>
          <w:tcPr>
            <w:tcW w:w="1615" w:type="dxa"/>
            <w:vAlign w:val="center"/>
          </w:tcPr>
          <w:p w14:paraId="6A164F9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4" w:type="dxa"/>
            <w:vAlign w:val="center"/>
          </w:tcPr>
          <w:p w14:paraId="175C7D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10" w:type="dxa"/>
            <w:vAlign w:val="center"/>
          </w:tcPr>
          <w:p w14:paraId="5258AC1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14:paraId="43DA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pct10" w:color="auto" w:fill="auto"/>
            <w:vAlign w:val="center"/>
          </w:tcPr>
          <w:p w14:paraId="2CCBD4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718F8D1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22B5AA5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E54EF0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6656E8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F11403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14:paraId="2E41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gridSpan w:val="3"/>
            <w:shd w:val="pct10" w:color="auto" w:fill="auto"/>
            <w:vAlign w:val="center"/>
          </w:tcPr>
          <w:p w14:paraId="2D09468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ED6806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944" w:type="dxa"/>
            <w:vAlign w:val="center"/>
          </w:tcPr>
          <w:p w14:paraId="4C991C7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14:paraId="1B53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D9F67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944" w:type="dxa"/>
            <w:vAlign w:val="center"/>
          </w:tcPr>
          <w:p w14:paraId="08E02E1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Style w:val="12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657"/>
        <w:gridCol w:w="821"/>
        <w:gridCol w:w="3431"/>
        <w:gridCol w:w="851"/>
      </w:tblGrid>
      <w:tr w14:paraId="673E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shd w:val="pct15" w:color="auto" w:fill="auto"/>
            <w:vAlign w:val="center"/>
          </w:tcPr>
          <w:p w14:paraId="3A45BB6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14:paraId="06BE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6599095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Uvod, osnovni pojmovi; okoliš, ugroza, otpad, gospodarenje otpadom </w:t>
            </w:r>
            <w:r>
              <w:rPr>
                <w:rFonts w:ascii="Cambria" w:hAnsi="Cambria"/>
                <w:sz w:val="20"/>
              </w:rPr>
              <w:t>– I1</w:t>
            </w:r>
          </w:p>
        </w:tc>
        <w:tc>
          <w:tcPr>
            <w:tcW w:w="821" w:type="dxa"/>
          </w:tcPr>
          <w:p w14:paraId="0E104CB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Predavanje: strategija gospodarenja otpadom u RH – I1, I2</w:t>
            </w:r>
          </w:p>
        </w:tc>
        <w:tc>
          <w:tcPr>
            <w:tcW w:w="851" w:type="dxa"/>
          </w:tcPr>
          <w:p w14:paraId="1EC728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I1, I2</w:t>
            </w:r>
          </w:p>
        </w:tc>
      </w:tr>
      <w:tr w14:paraId="08AF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4A5A7A4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Izvori onečišćenja okoliša, vrste i načini  onečišćavanja okoliša</w:t>
            </w:r>
            <w:r>
              <w:rPr>
                <w:rFonts w:ascii="Cambria" w:hAnsi="Cambria"/>
                <w:sz w:val="20"/>
              </w:rPr>
              <w:t xml:space="preserve"> – I2</w:t>
            </w:r>
          </w:p>
        </w:tc>
        <w:tc>
          <w:tcPr>
            <w:tcW w:w="821" w:type="dxa"/>
          </w:tcPr>
          <w:p w14:paraId="0A141DB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7AC5934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Odvojeno skupljanje i razvrstavanje otpada. Burza otpada – I3</w:t>
            </w:r>
          </w:p>
        </w:tc>
        <w:tc>
          <w:tcPr>
            <w:tcW w:w="851" w:type="dxa"/>
          </w:tcPr>
          <w:p w14:paraId="5A105AE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14:paraId="0315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0" w:type="dxa"/>
            <w:vAlign w:val="center"/>
          </w:tcPr>
          <w:p w14:paraId="50C2CF4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Strategija zaštite okoliša i principi zaštite okoliša – I3</w:t>
            </w:r>
          </w:p>
        </w:tc>
        <w:tc>
          <w:tcPr>
            <w:tcW w:w="821" w:type="dxa"/>
          </w:tcPr>
          <w:p w14:paraId="297CF56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2F058D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„Divlja“ odlagališta otpada u lovištima Akcije lovaca.- I3</w:t>
            </w:r>
          </w:p>
        </w:tc>
        <w:tc>
          <w:tcPr>
            <w:tcW w:w="851" w:type="dxa"/>
          </w:tcPr>
          <w:p w14:paraId="52A024A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14:paraId="7DE5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80" w:type="dxa"/>
            <w:vAlign w:val="center"/>
          </w:tcPr>
          <w:p w14:paraId="5C51A60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Definicija otpada, kategorije i vrste otpada prema mjestu nastanka i svojstvima</w:t>
            </w:r>
            <w:r>
              <w:rPr>
                <w:rFonts w:ascii="Cambria" w:hAnsi="Cambria"/>
                <w:sz w:val="20"/>
              </w:rPr>
              <w:t xml:space="preserve"> – I4</w:t>
            </w:r>
          </w:p>
        </w:tc>
        <w:tc>
          <w:tcPr>
            <w:tcW w:w="821" w:type="dxa"/>
          </w:tcPr>
          <w:p w14:paraId="32ACB86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326F6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Upoznavanje s pokazateljima opasnih svojstava otpada i utjecaja na onečišćenje.- I2, I4, I6</w:t>
            </w:r>
          </w:p>
          <w:p w14:paraId="3AF9029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D92B73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I2, I4, I6</w:t>
            </w:r>
          </w:p>
        </w:tc>
      </w:tr>
      <w:tr w14:paraId="1F81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880" w:type="dxa"/>
            <w:vAlign w:val="center"/>
          </w:tcPr>
          <w:p w14:paraId="5AEA3B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Povijest zbrinjavanja otpada</w:t>
            </w:r>
            <w:r>
              <w:rPr>
                <w:rFonts w:ascii="Cambria" w:hAnsi="Cambria"/>
                <w:sz w:val="20"/>
              </w:rPr>
              <w:t>– I4</w:t>
            </w:r>
          </w:p>
        </w:tc>
        <w:tc>
          <w:tcPr>
            <w:tcW w:w="821" w:type="dxa"/>
          </w:tcPr>
          <w:p w14:paraId="51DABE7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16824AE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Nekontrolirani otpad u okolišu i prirode – I4</w:t>
            </w:r>
          </w:p>
        </w:tc>
        <w:tc>
          <w:tcPr>
            <w:tcW w:w="851" w:type="dxa"/>
          </w:tcPr>
          <w:p w14:paraId="7BC1754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14:paraId="07AF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80" w:type="dxa"/>
            <w:vAlign w:val="center"/>
          </w:tcPr>
          <w:p w14:paraId="4124B65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Onečišćavanje prirode i okoliša otpadom </w:t>
            </w:r>
            <w:r>
              <w:rPr>
                <w:rFonts w:ascii="Cambria" w:hAnsi="Cambria"/>
                <w:sz w:val="20"/>
              </w:rPr>
              <w:t>– I4</w:t>
            </w:r>
          </w:p>
        </w:tc>
        <w:tc>
          <w:tcPr>
            <w:tcW w:w="821" w:type="dxa"/>
          </w:tcPr>
          <w:p w14:paraId="2035F0B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471A16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Načini uzorkovanja otpada za analizu fizikalno-kemijskih karakteristika.- I4</w:t>
            </w:r>
          </w:p>
          <w:p w14:paraId="35E0AF3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B2B171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14:paraId="7CF4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80" w:type="dxa"/>
            <w:vAlign w:val="center"/>
          </w:tcPr>
          <w:p w14:paraId="6D7899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B951735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Zbrinjavanje ostataka i otpada uporabom umjetnih gnojiva, pesticida i dr. kemikalija</w:t>
            </w:r>
            <w:r>
              <w:rPr>
                <w:rFonts w:ascii="Cambria" w:hAnsi="Cambria"/>
                <w:sz w:val="20"/>
              </w:rPr>
              <w:t xml:space="preserve"> – Nitritna direktiva I3, I4.</w:t>
            </w:r>
          </w:p>
          <w:p w14:paraId="46A406A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I3, I4</w:t>
            </w:r>
          </w:p>
        </w:tc>
        <w:tc>
          <w:tcPr>
            <w:tcW w:w="3431" w:type="dxa"/>
          </w:tcPr>
          <w:p w14:paraId="669696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Način gospodarenja komunalnim otpadom grada Karlovca I Zagreba– I3, I4</w:t>
            </w:r>
          </w:p>
          <w:p w14:paraId="1D9F225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A9EC1A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I3, I4</w:t>
            </w:r>
          </w:p>
        </w:tc>
      </w:tr>
      <w:tr w14:paraId="36BB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80" w:type="dxa"/>
            <w:vAlign w:val="center"/>
          </w:tcPr>
          <w:p w14:paraId="5D3C23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„Divlja“ i sanitarna odlagališta otpada</w:t>
            </w:r>
            <w:r>
              <w:rPr>
                <w:rFonts w:ascii="Cambria" w:hAnsi="Cambria"/>
                <w:sz w:val="20"/>
              </w:rPr>
              <w:t xml:space="preserve"> – I3, I4</w:t>
            </w:r>
          </w:p>
        </w:tc>
        <w:tc>
          <w:tcPr>
            <w:tcW w:w="821" w:type="dxa"/>
          </w:tcPr>
          <w:p w14:paraId="265894A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I3, I4</w:t>
            </w:r>
          </w:p>
        </w:tc>
        <w:tc>
          <w:tcPr>
            <w:tcW w:w="3431" w:type="dxa"/>
          </w:tcPr>
          <w:p w14:paraId="5ABD99A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Očevid suvremenog načina odlaganja otpada na saniranom odlagalištu. Jakuševac  Zagreb.- I3, I4</w:t>
            </w:r>
          </w:p>
        </w:tc>
        <w:tc>
          <w:tcPr>
            <w:tcW w:w="851" w:type="dxa"/>
          </w:tcPr>
          <w:p w14:paraId="33FA6D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I3, I4</w:t>
            </w:r>
          </w:p>
        </w:tc>
      </w:tr>
      <w:tr w14:paraId="19C7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80" w:type="dxa"/>
            <w:vAlign w:val="center"/>
          </w:tcPr>
          <w:p w14:paraId="51967C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Europski standardi gospodarenja otpadom </w:t>
            </w:r>
            <w:r>
              <w:rPr>
                <w:rFonts w:ascii="Cambria" w:hAnsi="Cambria"/>
                <w:sz w:val="20"/>
              </w:rPr>
              <w:t>-  I3</w:t>
            </w:r>
          </w:p>
        </w:tc>
        <w:tc>
          <w:tcPr>
            <w:tcW w:w="821" w:type="dxa"/>
          </w:tcPr>
          <w:p w14:paraId="7046C3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I3</w:t>
            </w:r>
          </w:p>
        </w:tc>
        <w:tc>
          <w:tcPr>
            <w:tcW w:w="3431" w:type="dxa"/>
          </w:tcPr>
          <w:p w14:paraId="503F54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14:paraId="289D8A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Biološko pročišćavanje otpadnih voda prehrambene industrije i procjednih voda – I5</w:t>
            </w:r>
          </w:p>
          <w:p w14:paraId="35BC745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1EF92D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14:paraId="3E3C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80" w:type="dxa"/>
            <w:vAlign w:val="center"/>
          </w:tcPr>
          <w:p w14:paraId="1F166DB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Gospodarenje opasnim otpadom </w:t>
            </w:r>
            <w:r>
              <w:rPr>
                <w:rFonts w:ascii="Cambria" w:hAnsi="Cambria"/>
                <w:sz w:val="20"/>
              </w:rPr>
              <w:t>- I4</w:t>
            </w:r>
          </w:p>
        </w:tc>
        <w:tc>
          <w:tcPr>
            <w:tcW w:w="821" w:type="dxa"/>
          </w:tcPr>
          <w:p w14:paraId="780E1E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I4</w:t>
            </w:r>
          </w:p>
        </w:tc>
        <w:tc>
          <w:tcPr>
            <w:tcW w:w="3431" w:type="dxa"/>
          </w:tcPr>
          <w:p w14:paraId="46E0EEF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Seminarski rad: Proizvodnja bioplina iz otpada I6</w:t>
            </w:r>
          </w:p>
        </w:tc>
        <w:tc>
          <w:tcPr>
            <w:tcW w:w="851" w:type="dxa"/>
          </w:tcPr>
          <w:p w14:paraId="41ED63D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I5, I6</w:t>
            </w:r>
          </w:p>
        </w:tc>
      </w:tr>
      <w:tr w14:paraId="54D7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80" w:type="dxa"/>
            <w:vAlign w:val="center"/>
          </w:tcPr>
          <w:p w14:paraId="449CB6F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6FD5110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Oporaba, recikliranje i kompostiranje otpada</w:t>
            </w:r>
            <w:r>
              <w:rPr>
                <w:rFonts w:ascii="Cambria" w:hAnsi="Cambria"/>
                <w:sz w:val="20"/>
              </w:rPr>
              <w:t xml:space="preserve"> – I3, I4</w:t>
            </w:r>
          </w:p>
          <w:p w14:paraId="4B24CE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I3, I4</w:t>
            </w:r>
          </w:p>
        </w:tc>
        <w:tc>
          <w:tcPr>
            <w:tcW w:w="3431" w:type="dxa"/>
          </w:tcPr>
          <w:p w14:paraId="5E1B35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TERENSKA NASTAVA I Seminarski rad: neškodljivo zbrinjavanje i iskorištavanje leševa životinja. Nakon posjeta kafilerije- I6</w:t>
            </w:r>
          </w:p>
        </w:tc>
        <w:tc>
          <w:tcPr>
            <w:tcW w:w="851" w:type="dxa"/>
          </w:tcPr>
          <w:p w14:paraId="118F4F8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14:paraId="2402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80" w:type="dxa"/>
            <w:vAlign w:val="center"/>
          </w:tcPr>
          <w:p w14:paraId="69CC10D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22BD1563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Opasni otpad iz domaćinstva– I4</w:t>
            </w:r>
          </w:p>
          <w:p w14:paraId="54AF2CB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F53918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TERENSKA NASTAVA I Posjet utilizacijskom zavodu (kafileriji) “Agroproteinka“ Sesvete. – I6</w:t>
            </w:r>
          </w:p>
        </w:tc>
        <w:tc>
          <w:tcPr>
            <w:tcW w:w="851" w:type="dxa"/>
          </w:tcPr>
          <w:p w14:paraId="024C008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14:paraId="161A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0C135FB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Pročišćavanje otpadne vode, dimnih i ispušnih plinova </w:t>
            </w:r>
            <w:r>
              <w:rPr>
                <w:rFonts w:ascii="Cambria" w:hAnsi="Cambria"/>
                <w:sz w:val="20"/>
              </w:rPr>
              <w:t>-  I5</w:t>
            </w:r>
          </w:p>
        </w:tc>
        <w:tc>
          <w:tcPr>
            <w:tcW w:w="821" w:type="dxa"/>
          </w:tcPr>
          <w:p w14:paraId="0435EB1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I5</w:t>
            </w:r>
          </w:p>
        </w:tc>
        <w:tc>
          <w:tcPr>
            <w:tcW w:w="3431" w:type="dxa"/>
          </w:tcPr>
          <w:p w14:paraId="7455AEA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Seminarski rad: Alternativni iznimni postupci neškodljivog uklanjanja leševa životinja. – I6</w:t>
            </w:r>
          </w:p>
        </w:tc>
        <w:tc>
          <w:tcPr>
            <w:tcW w:w="851" w:type="dxa"/>
          </w:tcPr>
          <w:p w14:paraId="3192FFB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14:paraId="13FF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1E1E859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389FAD72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</w:p>
          <w:p w14:paraId="13F7C7B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Otpad u lovstvu i zbrinjavanje ostalog otpada animalnog podrijetla</w:t>
            </w:r>
            <w:r>
              <w:rPr>
                <w:rFonts w:ascii="Cambria" w:hAnsi="Cambria"/>
                <w:sz w:val="20"/>
              </w:rPr>
              <w:t>– I5</w:t>
            </w:r>
          </w:p>
        </w:tc>
        <w:tc>
          <w:tcPr>
            <w:tcW w:w="821" w:type="dxa"/>
          </w:tcPr>
          <w:p w14:paraId="7194CAC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I5</w:t>
            </w:r>
          </w:p>
        </w:tc>
        <w:tc>
          <w:tcPr>
            <w:tcW w:w="3431" w:type="dxa"/>
          </w:tcPr>
          <w:p w14:paraId="23B5E4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Kompostiranje.. Jednostavna i industrijska kompostišta – I4 I I6</w:t>
            </w:r>
          </w:p>
        </w:tc>
        <w:tc>
          <w:tcPr>
            <w:tcW w:w="851" w:type="dxa"/>
          </w:tcPr>
          <w:p w14:paraId="4A3E882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I4 I I6</w:t>
            </w:r>
          </w:p>
        </w:tc>
      </w:tr>
      <w:tr w14:paraId="24B4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5E10AB5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Gospodarenje posebnim kategorijama otpada </w:t>
            </w:r>
            <w:r>
              <w:rPr>
                <w:rFonts w:ascii="Cambria" w:hAnsi="Cambria"/>
                <w:sz w:val="20"/>
              </w:rPr>
              <w:t>– I6</w:t>
            </w:r>
          </w:p>
        </w:tc>
        <w:tc>
          <w:tcPr>
            <w:tcW w:w="821" w:type="dxa"/>
          </w:tcPr>
          <w:p w14:paraId="1807363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Preporuke za prenošenje znanja za podizanje svijesti o ispravnom gospodarenju otpadom, projekt –I1-I6</w:t>
            </w:r>
          </w:p>
        </w:tc>
        <w:tc>
          <w:tcPr>
            <w:tcW w:w="851" w:type="dxa"/>
          </w:tcPr>
          <w:p w14:paraId="4C33CA3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I1-I6</w:t>
            </w:r>
          </w:p>
        </w:tc>
      </w:tr>
    </w:tbl>
    <w:p w14:paraId="45E10415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Literatura (osnovna / dopunska)</w:t>
      </w:r>
    </w:p>
    <w:tbl>
      <w:tblPr>
        <w:tblStyle w:val="12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35AE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shd w:val="clear" w:color="auto" w:fill="auto"/>
            <w:vAlign w:val="center"/>
          </w:tcPr>
          <w:p w14:paraId="3424EA4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Osnovna:</w:t>
            </w:r>
          </w:p>
          <w:p w14:paraId="073C9537">
            <w:pPr>
              <w:pStyle w:val="3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Buljan, H. (2013): Gospodarenje otpadom. Zagrebačko učilište, Zagreb. I izdanje. </w:t>
            </w:r>
          </w:p>
          <w:p w14:paraId="3A351647">
            <w:pPr>
              <w:pStyle w:val="3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Milanović Z., Radović S., Vučić V. (2003): Otpad nije smeće. Gospodarstvo i okoliš – Mtg-topograf, Zagreb. I izdanje.</w:t>
            </w:r>
          </w:p>
          <w:p w14:paraId="21A47D95">
            <w:pPr>
              <w:pStyle w:val="3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Grupa autora (2019):  Neke mogućnosti iskorištavanja nusproizvoda prehrambene industrije, knjiga 2. Prehrambeno-tehnološki fakultet u Osijeku. </w:t>
            </w:r>
          </w:p>
          <w:p w14:paraId="3E72842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Dopunska: </w:t>
            </w:r>
          </w:p>
          <w:p w14:paraId="288E8D6A">
            <w:pPr>
              <w:pStyle w:val="3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Narodne novine:  Propisi  iz područja zaštite okoliša      </w:t>
            </w:r>
          </w:p>
          <w:p w14:paraId="3DDA0DDC">
            <w:pPr>
              <w:pStyle w:val="30"/>
              <w:numPr>
                <w:ilvl w:val="0"/>
                <w:numId w:val="2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Kalambura S. (2011): Kafilerije i alkalna hidrolizaskripta, Agronomski fakultet Sveučilišta u Zagrebu i Zoro d.o.o. Zagreb, I izdanje.</w:t>
            </w:r>
          </w:p>
          <w:p w14:paraId="1D934444">
            <w:pPr>
              <w:pStyle w:val="3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Tušar, B. (2004):</w:t>
            </w:r>
            <w:r>
              <w:rPr>
                <w:rFonts w:ascii="Cambria" w:hAnsi="Cambria" w:cs="Calibri"/>
                <w:sz w:val="20"/>
                <w:lang w:val="hr-HR"/>
              </w:rPr>
              <w:tab/>
            </w:r>
            <w:r>
              <w:rPr>
                <w:rFonts w:ascii="Cambria" w:hAnsi="Cambria" w:cs="Calibri"/>
                <w:sz w:val="20"/>
                <w:lang w:val="hr-HR"/>
              </w:rPr>
              <w:t>Ispuštanje i pročišćavanje otpadnih voda.</w:t>
            </w:r>
            <w:r>
              <w:rPr>
                <w:rFonts w:ascii="Cambria" w:hAnsi="Cambria" w:cs="Calibri"/>
                <w:sz w:val="20"/>
                <w:lang w:val="hr-HR"/>
              </w:rPr>
              <w:tab/>
            </w:r>
            <w:r>
              <w:rPr>
                <w:rFonts w:ascii="Cambria" w:hAnsi="Cambria" w:cs="Calibri"/>
                <w:sz w:val="20"/>
                <w:lang w:val="hr-HR"/>
              </w:rPr>
              <w:t>Croatia knjiga, Zagreb. I izdanje.</w:t>
            </w:r>
          </w:p>
        </w:tc>
      </w:tr>
    </w:tbl>
    <w:p w14:paraId="3D948AC3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>
      <w:footerReference r:id="rId6" w:type="first"/>
      <w:headerReference r:id="rId3" w:type="default"/>
      <w:footerReference r:id="rId5" w:type="default"/>
      <w:headerReference r:id="rId4" w:type="even"/>
      <w:pgSz w:w="11907" w:h="16840"/>
      <w:pgMar w:top="1134" w:right="851" w:bottom="964" w:left="1418" w:header="454" w:footer="454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C55FB">
    <w:pPr>
      <w:pStyle w:val="20"/>
      <w:jc w:val="center"/>
      <w:rPr>
        <w:bCs/>
        <w:iCs/>
        <w:sz w:val="14"/>
        <w:szCs w:val="14"/>
      </w:rPr>
    </w:pPr>
    <w:r>
      <w:rPr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1.1pt;margin-top:-2.75pt;height:0pt;width:482.4pt;z-index:251659264;mso-width-relative:page;mso-height-relative:page;" filled="f" stroked="t" coordsize="21600,21600" o:allowincell="f" o:gfxdata="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Yy2l9UAAAAHAQAADwAAAAAAAAABACAAAAAiAAAAZHJzL2Rvd25y&#10;ZXYueG1sUEsBAhQAFAAAAAgAh07iQLBhbYDIAQAAnwMAAA4AAAAAAAAAAQAgAAAAJAEAAGRycy9l&#10;Mm9Eb2MueG1sUEsFBgAAAAAGAAYAWQEAAF4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2C4B6">
    <w:pPr>
      <w:pStyle w:val="20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>
      <w:rPr>
        <w:sz w:val="12"/>
      </w:rPr>
      <w:t>10/9/25</w:t>
    </w:r>
    <w:r>
      <w:rPr>
        <w:sz w:val="12"/>
      </w:rPr>
      <w:fldChar w:fldCharType="end"/>
    </w:r>
    <w:r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>
      <w:rPr>
        <w:sz w:val="12"/>
      </w:rPr>
      <w:t>7:43:39 AM</w:t>
    </w:r>
    <w:r>
      <w:rPr>
        <w:sz w:val="12"/>
      </w:rPr>
      <w:fldChar w:fldCharType="end"/>
    </w:r>
    <w:r>
      <w:rPr>
        <w:sz w:val="12"/>
        <w:lang w:val="pl-PL"/>
      </w:rPr>
      <w:t xml:space="preserve">  </w:t>
    </w:r>
    <w:r>
      <w:rPr>
        <w:sz w:val="12"/>
      </w:rPr>
      <w:fldChar w:fldCharType="begin"/>
    </w:r>
    <w:r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9F993">
    <w:pPr>
      <w:rPr>
        <w:sz w:val="16"/>
      </w:rPr>
    </w:pPr>
  </w:p>
  <w:tbl>
    <w:tblPr>
      <w:tblStyle w:val="12"/>
      <w:tblW w:w="10065" w:type="dxa"/>
      <w:tblInd w:w="-431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065"/>
    </w:tblGrid>
    <w:tr w14:paraId="01CD64B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cantSplit/>
        <w:trHeight w:val="1134" w:hRule="exact"/>
      </w:trPr>
      <w:tc>
        <w:tcPr>
          <w:tcW w:w="10065" w:type="dxa"/>
        </w:tcPr>
        <w:p w14:paraId="725877A8">
          <w:pPr>
            <w:rPr>
              <w:b/>
              <w:sz w:val="28"/>
            </w:rPr>
          </w:pPr>
          <w:r>
            <w:rPr>
              <w:lang w:val="hr-HR" w:eastAsia="hr-H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6F36097">
          <w:pPr>
            <w:pStyle w:val="5"/>
          </w:pPr>
        </w:p>
      </w:tc>
    </w:tr>
    <w:tr w14:paraId="135C2BC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67" w:hRule="exact"/>
      </w:trPr>
      <w:tc>
        <w:tcPr>
          <w:tcW w:w="10065" w:type="dxa"/>
        </w:tcPr>
        <w:p w14:paraId="3F9E5F02">
          <w:pPr>
            <w:pStyle w:val="2"/>
            <w:rPr>
              <w:color w:val="808080"/>
              <w:sz w:val="16"/>
            </w:rPr>
          </w:pPr>
        </w:p>
        <w:p w14:paraId="39AF99FC">
          <w:pPr>
            <w:pStyle w:val="2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>
    <w:pPr>
      <w:pStyle w:val="21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D3517">
    <w:pPr>
      <w:pStyle w:val="21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3</w:t>
    </w:r>
    <w:r>
      <w:rPr>
        <w:rStyle w:val="22"/>
      </w:rPr>
      <w:fldChar w:fldCharType="end"/>
    </w:r>
  </w:p>
  <w:p w14:paraId="1C7A7F2F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E77A9"/>
    <w:multiLevelType w:val="multilevel"/>
    <w:tmpl w:val="087E77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2915"/>
    <w:multiLevelType w:val="multilevel"/>
    <w:tmpl w:val="27F229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51CD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074"/>
    <w:rsid w:val="002B558E"/>
    <w:rsid w:val="002C0B23"/>
    <w:rsid w:val="002C3EEE"/>
    <w:rsid w:val="002D0E67"/>
    <w:rsid w:val="002F0898"/>
    <w:rsid w:val="002F5DE6"/>
    <w:rsid w:val="00303EA5"/>
    <w:rsid w:val="00305FBA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B30AA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75DE8"/>
    <w:rsid w:val="005806C9"/>
    <w:rsid w:val="00591D79"/>
    <w:rsid w:val="00594A7E"/>
    <w:rsid w:val="005A365F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3986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36AF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B17C2"/>
    <w:rsid w:val="007C1784"/>
    <w:rsid w:val="007C4A87"/>
    <w:rsid w:val="007C524E"/>
    <w:rsid w:val="007D44E6"/>
    <w:rsid w:val="007D4C05"/>
    <w:rsid w:val="007D7711"/>
    <w:rsid w:val="007E4E0E"/>
    <w:rsid w:val="007E638F"/>
    <w:rsid w:val="007F186E"/>
    <w:rsid w:val="007F41E0"/>
    <w:rsid w:val="00804EF4"/>
    <w:rsid w:val="00805372"/>
    <w:rsid w:val="00811FE7"/>
    <w:rsid w:val="00816079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45FF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61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669AD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277E8"/>
    <w:rsid w:val="00B32CBE"/>
    <w:rsid w:val="00B3767F"/>
    <w:rsid w:val="00B412C5"/>
    <w:rsid w:val="00B550CE"/>
    <w:rsid w:val="00B60A49"/>
    <w:rsid w:val="00B61502"/>
    <w:rsid w:val="00B647B5"/>
    <w:rsid w:val="00B670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DF3592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0996"/>
    <w:rsid w:val="00ED2C27"/>
    <w:rsid w:val="00ED38CA"/>
    <w:rsid w:val="00ED436F"/>
    <w:rsid w:val="00EE1099"/>
    <w:rsid w:val="00EF0BEB"/>
    <w:rsid w:val="00EF1AC8"/>
    <w:rsid w:val="00F0340B"/>
    <w:rsid w:val="00F04CA0"/>
    <w:rsid w:val="00F1563E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2391"/>
    <w:rsid w:val="00F856B2"/>
    <w:rsid w:val="00F85922"/>
    <w:rsid w:val="00F9598C"/>
    <w:rsid w:val="00FB1C3F"/>
    <w:rsid w:val="00FC5129"/>
    <w:rsid w:val="00FD6769"/>
    <w:rsid w:val="6C8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i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i/>
      <w:lang w:val="hr-HR"/>
    </w:rPr>
  </w:style>
  <w:style w:type="paragraph" w:styleId="5">
    <w:name w:val="heading 4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20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b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i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qFormat/>
    <w:uiPriority w:val="0"/>
    <w:rPr>
      <w:rFonts w:ascii="Segoe UI" w:hAnsi="Segoe UI" w:cs="Segoe UI"/>
      <w:sz w:val="18"/>
      <w:szCs w:val="18"/>
    </w:rPr>
  </w:style>
  <w:style w:type="paragraph" w:styleId="14">
    <w:name w:val="Body Text"/>
    <w:basedOn w:val="1"/>
    <w:qFormat/>
    <w:uiPriority w:val="0"/>
    <w:pPr>
      <w:jc w:val="both"/>
    </w:pPr>
    <w:rPr>
      <w:sz w:val="24"/>
    </w:rPr>
  </w:style>
  <w:style w:type="paragraph" w:styleId="15">
    <w:name w:val="Body Text 2"/>
    <w:basedOn w:val="1"/>
    <w:qFormat/>
    <w:uiPriority w:val="0"/>
    <w:rPr>
      <w:b/>
    </w:rPr>
  </w:style>
  <w:style w:type="paragraph" w:styleId="16">
    <w:name w:val="Body Text 3"/>
    <w:basedOn w:val="1"/>
    <w:qFormat/>
    <w:uiPriority w:val="0"/>
    <w:rPr>
      <w:sz w:val="16"/>
    </w:rPr>
  </w:style>
  <w:style w:type="character" w:styleId="17">
    <w:name w:val="annotation reference"/>
    <w:basedOn w:val="11"/>
    <w:qFormat/>
    <w:uiPriority w:val="0"/>
    <w:rPr>
      <w:sz w:val="16"/>
      <w:szCs w:val="16"/>
    </w:rPr>
  </w:style>
  <w:style w:type="paragraph" w:styleId="18">
    <w:name w:val="annotation text"/>
    <w:basedOn w:val="1"/>
    <w:link w:val="28"/>
    <w:qFormat/>
    <w:uiPriority w:val="0"/>
    <w:rPr>
      <w:sz w:val="20"/>
    </w:rPr>
  </w:style>
  <w:style w:type="paragraph" w:styleId="19">
    <w:name w:val="annotation subject"/>
    <w:basedOn w:val="18"/>
    <w:next w:val="18"/>
    <w:link w:val="29"/>
    <w:semiHidden/>
    <w:unhideWhenUsed/>
    <w:qFormat/>
    <w:uiPriority w:val="0"/>
    <w:rPr>
      <w:b/>
      <w:bCs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22">
    <w:name w:val="page number"/>
    <w:basedOn w:val="11"/>
    <w:qFormat/>
    <w:uiPriority w:val="0"/>
  </w:style>
  <w:style w:type="table" w:styleId="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itle"/>
    <w:basedOn w:val="1"/>
    <w:qFormat/>
    <w:uiPriority w:val="0"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25">
    <w:name w:val="Header 1"/>
    <w:basedOn w:val="24"/>
    <w:qFormat/>
    <w:uiPriority w:val="0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kern w:val="0"/>
      <w:sz w:val="24"/>
    </w:rPr>
  </w:style>
  <w:style w:type="paragraph" w:customStyle="1" w:styleId="26">
    <w:name w:val="Odlomak popisa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Cs w:val="22"/>
      <w:lang w:val="hr-HR"/>
    </w:rPr>
  </w:style>
  <w:style w:type="character" w:customStyle="1" w:styleId="27">
    <w:name w:val="Tekst balončića Char"/>
    <w:basedOn w:val="11"/>
    <w:link w:val="13"/>
    <w:qFormat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28">
    <w:name w:val="Tekst komentara Char"/>
    <w:basedOn w:val="11"/>
    <w:link w:val="18"/>
    <w:qFormat/>
    <w:uiPriority w:val="0"/>
    <w:rPr>
      <w:rFonts w:ascii="Arial" w:hAnsi="Arial"/>
      <w:lang w:val="en-GB" w:eastAsia="en-US"/>
    </w:rPr>
  </w:style>
  <w:style w:type="character" w:customStyle="1" w:styleId="29">
    <w:name w:val="Predmet komentara Char"/>
    <w:basedOn w:val="28"/>
    <w:link w:val="19"/>
    <w:semiHidden/>
    <w:qFormat/>
    <w:uiPriority w:val="0"/>
    <w:rPr>
      <w:rFonts w:ascii="Arial" w:hAnsi="Arial"/>
      <w:b/>
      <w:bCs/>
      <w:lang w:val="en-GB" w:eastAsia="en-US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A8DFB4-1E79-434B-8CB5-832BAAD69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Karlovac</Company>
  <Pages>4</Pages>
  <Words>976</Words>
  <Characters>5564</Characters>
  <Lines>46</Lines>
  <Paragraphs>13</Paragraphs>
  <TotalTime>13</TotalTime>
  <ScaleCrop>false</ScaleCrop>
  <LinksUpToDate>false</LinksUpToDate>
  <CharactersWithSpaces>6527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2023-10-09T09:50:00Z</dcterms:created>
  <dc:creator>Borislav Josipović</dc:creator>
  <cp:lastModifiedBy>Sandra Zavadlav</cp:lastModifiedBy>
  <cp:lastPrinted>2023-05-22T17:27:00Z</cp:lastPrinted>
  <dcterms:modified xsi:type="dcterms:W3CDTF">2025-10-09T05:43:49Z</dcterms:modified>
  <dc:title>S A D R Ž A J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7E54883EDC034A9CA92EF9554ED11E44_12</vt:lpwstr>
  </property>
</Properties>
</file>