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Opći podaci o kolegiju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30"/>
        <w:gridCol w:w="5850"/>
      </w:tblGrid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Upravljanje zaštićenim područjima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191849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Nositelj kolegija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>Dr. sc. Nina Popović, prof. struč. stud.; Dr. sc. Zrinka Mesić, v. pred.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mbria" w:hAnsi="Cambria"/>
                <w:sz w:val="20"/>
              </w:rPr>
              <w:t xml:space="preserve">Dr. sc. Biljana Janev Hutinec, pred. 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Stručni prijediplomski studij Lovstvo i zaštita prirode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6.0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 xml:space="preserve">Zaštita prirode, Pravni propisi u lovstvu i zaštiti prirode, </w:t>
            </w:r>
            <w:r>
              <w:rPr>
                <w:rFonts w:cs="Calibri" w:ascii="Cambria" w:hAnsi="Cambria"/>
                <w:sz w:val="20"/>
                <w:lang w:val="hr-HR"/>
              </w:rPr>
              <w:t>Uređivanje lovišta i Uređivanje šuma</w:t>
            </w:r>
          </w:p>
        </w:tc>
      </w:tr>
      <w:tr>
        <w:trPr/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de-DE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Cilj kolegija je upoznati studente sa sljedećim temama:</w:t>
            </w:r>
            <w:r>
              <w:rPr>
                <w:rFonts w:cs="Calibri" w:ascii="Cambria" w:hAnsi="Cambria"/>
                <w:sz w:val="20"/>
                <w:lang w:val="de-DE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Pojam zaštićenog područja; Povijest uspostave zaštićenih područja u svijetu, Europi i Hrvatskoj; Kategorije zaštićenih područja; Upravljanje ekološkom mrežom Natura 2000,  Koncept upravljanja zaštićenim područjima u RH – postupak proglašavanja, upravljačka ustanova i važni dokumenti; Vrednovanje i planiranje zaštićenih područja; Osnove upravljanja zaštićenim područjima; Hrvatski i međunarodni propisi u svezi zaštićenih dijelova prirode.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Ustrojstvo nastave</w:t>
      </w:r>
    </w:p>
    <w:tbl>
      <w:tblPr>
        <w:tblW w:w="9781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418"/>
        <w:gridCol w:w="4394"/>
      </w:tblGrid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ind w:left="31" w:hanging="31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Broj sati semestralno: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>
        <w:trPr>
          <w:trHeight w:val="90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predavanjima – 80%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vježbama – 80%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</w:rPr>
              <w:t>Prisustvo na terenskoj nastavi  – 100%</w:t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  <w:tr>
        <w:trPr/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rada studenata i provjere znanja tijekom nastavnog procesa</w:t>
      </w:r>
    </w:p>
    <w:tbl>
      <w:tblPr>
        <w:tblStyle w:val="TableGrid"/>
        <w:tblW w:w="9746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110"/>
        <w:gridCol w:w="1144"/>
        <w:gridCol w:w="1313"/>
        <w:gridCol w:w="1199"/>
        <w:gridCol w:w="1000"/>
        <w:gridCol w:w="923"/>
        <w:gridCol w:w="1346"/>
      </w:tblGrid>
      <w:tr>
        <w:trPr/>
        <w:tc>
          <w:tcPr>
            <w:tcW w:w="2819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144" w:type="dxa"/>
            <w:tcBorders/>
            <w:shd w:color="auto" w:fill="auto" w:val="pct12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Terenska nastava</w:t>
            </w:r>
          </w:p>
        </w:tc>
        <w:tc>
          <w:tcPr>
            <w:tcW w:w="131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Seminarski rad</w:t>
            </w:r>
          </w:p>
        </w:tc>
        <w:tc>
          <w:tcPr>
            <w:tcW w:w="119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Prezentacija</w:t>
            </w:r>
          </w:p>
        </w:tc>
        <w:tc>
          <w:tcPr>
            <w:tcW w:w="1000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923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Prolaz</w:t>
            </w:r>
          </w:p>
        </w:tc>
        <w:tc>
          <w:tcPr>
            <w:tcW w:w="1346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Vremenski okvir priznavanja ishoda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Prepoznati značajke kategorija zaštićenih područja i vrijedne značajke područja 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postupak proglašavanja zaštićenih područja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način upravljanja i provedbu zaštite u zaštićenim područjima u Republici Hrvatskoj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Povezati sve aspekte upravljanja zaštićenim područjima (razvoj djelatnosti, turizam, edukacija, interpretacija, prirodni resursi, monitoring)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Prezentirati način uspostavljanja suradnje znanosti, struke, tijela uprave i nevladinih organizacija u zaštićenim područjima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Interpretirati hrvatske i međunarodne propise u svezi zaštićenih dijelova prirode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70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2110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Povezati sve aspekte upravljanja ekološkom mrežom Natura 2000  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3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Tijekom akademske godine</w:t>
            </w:r>
          </w:p>
        </w:tc>
      </w:tr>
      <w:tr>
        <w:trPr/>
        <w:tc>
          <w:tcPr>
            <w:tcW w:w="2819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10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30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gridSpan w:val="2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144" w:type="dxa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</w:t>
            </w:r>
          </w:p>
        </w:tc>
        <w:tc>
          <w:tcPr>
            <w:tcW w:w="13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</w:t>
            </w:r>
          </w:p>
        </w:tc>
        <w:tc>
          <w:tcPr>
            <w:tcW w:w="119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0,5</w:t>
            </w:r>
          </w:p>
        </w:tc>
        <w:tc>
          <w:tcPr>
            <w:tcW w:w="100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2,5</w:t>
            </w:r>
          </w:p>
        </w:tc>
        <w:tc>
          <w:tcPr>
            <w:tcW w:w="92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left"/>
        <w:tblInd w:w="-14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"/>
        <w:gridCol w:w="1842"/>
        <w:gridCol w:w="1616"/>
        <w:gridCol w:w="1"/>
        <w:gridCol w:w="1614"/>
        <w:gridCol w:w="1"/>
        <w:gridCol w:w="1753"/>
        <w:gridCol w:w="1"/>
        <w:gridCol w:w="942"/>
        <w:gridCol w:w="809"/>
      </w:tblGrid>
      <w:tr>
        <w:trPr/>
        <w:tc>
          <w:tcPr>
            <w:tcW w:w="2691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7" w:type="dxa"/>
            <w:gridSpan w:val="8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4" w:type="dxa"/>
            <w:gridSpan w:val="2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usmeni ispit</w:t>
            </w:r>
          </w:p>
        </w:tc>
        <w:tc>
          <w:tcPr>
            <w:tcW w:w="942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Ukupno</w:t>
            </w:r>
          </w:p>
        </w:tc>
        <w:tc>
          <w:tcPr>
            <w:tcW w:w="809" w:type="dxa"/>
            <w:tcBorders/>
            <w:shd w:color="auto" w:fill="auto" w:val="pct12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mbria" w:hAnsi="Cambria" w:cs="Calibri"/>
                <w:b/>
                <w:b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 xml:space="preserve">Prolaz 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1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 xml:space="preserve">Prepoznati značajke kategorija zaštićenih područja i vrijedne značajke područja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2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postupak proglašavanja zaštićenih područja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3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Objasniti način upravljanja i provedbu zaštite u zaštićenim područjima u Republici Hrvatskoj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4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Povezati sve aspekte upravljanja zaštićenim područjima (razvoj djelatnosti, turizam, edukacija, interpretacija, prirodni resursi, monitoring)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5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Prezentirati način uspostavljanja suradnje znanosti, struke, tijela uprave i nevladinih organizacija u zaštićenim područjima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6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Interpretirati hrvatske i međunarodne propise u svezi zaštićenih dijelova prirode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</w:tr>
      <w:tr>
        <w:trPr/>
        <w:tc>
          <w:tcPr>
            <w:tcW w:w="849" w:type="dxa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Ishod 7</w:t>
            </w:r>
          </w:p>
        </w:tc>
        <w:tc>
          <w:tcPr>
            <w:tcW w:w="345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 xml:space="preserve">Povezati sve aspekte upravljanja ekološkom mrežom Natura 2000  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  <w:tc>
          <w:tcPr>
            <w:tcW w:w="943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25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13</w:t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50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20</w:t>
            </w:r>
          </w:p>
        </w:tc>
        <w:tc>
          <w:tcPr>
            <w:tcW w:w="9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70</w:t>
            </w:r>
          </w:p>
        </w:tc>
        <w:tc>
          <w:tcPr>
            <w:tcW w:w="8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</w:r>
          </w:p>
        </w:tc>
      </w:tr>
      <w:tr>
        <w:trPr/>
        <w:tc>
          <w:tcPr>
            <w:tcW w:w="4308" w:type="dxa"/>
            <w:gridSpan w:val="4"/>
            <w:tcBorders/>
            <w:shd w:color="auto" w:fill="auto" w:val="pct10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</w:t>
            </w:r>
          </w:p>
        </w:tc>
        <w:tc>
          <w:tcPr>
            <w:tcW w:w="1754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0,5</w:t>
            </w:r>
          </w:p>
        </w:tc>
        <w:tc>
          <w:tcPr>
            <w:tcW w:w="94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3,5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0"/>
        <w:gridCol w:w="3656"/>
        <w:gridCol w:w="821"/>
        <w:gridCol w:w="3431"/>
        <w:gridCol w:w="852"/>
      </w:tblGrid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jc w:val="both"/>
              <w:rPr>
                <w:rFonts w:ascii="Cambria" w:hAnsi="Cambria" w:cs="Calibri"/>
                <w:b/>
                <w:b/>
                <w:bCs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bCs/>
                <w:sz w:val="20"/>
                <w:lang w:val="hr-HR"/>
              </w:rPr>
              <w:t>Ishod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Definicija zaštićenog područja.</w:t>
            </w:r>
          </w:p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Povijest uspostave zaštićenih područja u svijetu, Europi i Hrvatskoj.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Kategorije zaštićenih područja Natura 2000.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Suradnja djelatnika javnih ustanova za zaštitu prirode, nevladinih udruga i lokalne samouprave.</w:t>
            </w:r>
          </w:p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Institucionalni okvir zaštite prirode u RH – upravljanje i organizacija.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Definiranje ključnih dionika u zaštićenom području.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1, 3, 5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Zakonska legislativa u zaštićenim područjima u RH.</w:t>
            </w:r>
          </w:p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Institucionalno upravljanje zaštićenim područjima u RH – upravljanje i organizacija.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Prostorno – planska dokumentacija u zaštićenim područjima RH.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2, 3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Edukacija djelatnika, lokalnog stanovništva i posjetitelja u zaštićenim područjima u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de-DE"/>
              </w:rPr>
              <w:t>Interpretacija u zaštićenim područjima RH.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  <w:lang w:val="it-IT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Upravljanje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Turizam u zaštićenim područjima RH.</w:t>
            </w:r>
          </w:p>
          <w:p>
            <w:pPr>
              <w:pStyle w:val="Normal"/>
              <w:widowControl w:val="false"/>
              <w:spacing w:before="40" w:after="0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Sustav posjećivanja.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Prihvatni kapacitet zaštićenog područja.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</w:rPr>
              <w:t>Vrednovanje zaštićenih područja za potrebe upravljanja.</w:t>
            </w:r>
          </w:p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Zone i zoniranje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Plan upravljanja - Akcijski planovi – godišnji provedbeni  planovi.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Definiranje ciljeva, akcija i pokazatelja planova.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Postupak proglašavanja zaštićenih prirodnih vrijednosti.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Vrednovanje zaštićenih područja i zonacija za potrebe proglašavanja zaštićenog područja.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 xml:space="preserve">Seminarski rad i rasprava na temu problematike zaštićenih područja RH.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23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Upravljanje vrstama, populacijama, ekosustavima i krajobrazima.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 xml:space="preserve">Usluge ekosustava u zaštićenim područjima.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Primjer rada službe čuvara prirode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Legislativa, primjena i nadležnosti.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1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</w:rPr>
              <w:t>Turizam, posjećivanje i ponuda u zaštićenim područjima.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Interpretacija i edukacija u ZP.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Objavješćivanje i sudjelovanje javnosti u pitanjima zaštite prirode u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Pritisci na prirodnu i kulturnu baštinu na primjeru parkova prirode.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</w:tr>
      <w:tr>
        <w:trPr>
          <w:trHeight w:val="217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8.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Održivo upravljanje prirodnim resursima u zaštićenim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Akcijski planovi za upravljanje NATURA 2000 i revitalizacija staništa.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Definiranje ciljeva očuvanja.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22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9.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Geološka raznolikost.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GIS vježbe iz upravljanja zaštićenim područjima – zonacija u zaštićenim područjima.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10.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Kulturna baština u zaštićenim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Cs/>
                <w:sz w:val="20"/>
                <w:lang w:val="hr-HR"/>
              </w:rPr>
              <w:t>GIS vježbe iz upravljanja zaštićenim područjima – zonacija u zaštićenim područjima.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7</w:t>
            </w:r>
          </w:p>
        </w:tc>
      </w:tr>
      <w:tr>
        <w:trPr>
          <w:trHeight w:val="258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Ključni dionici u zaštićenim područjima. Sudjelovanje javnosti.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bookmarkStart w:id="0" w:name="__DdeLink__3732_878818128"/>
            <w:r>
              <w:rPr>
                <w:rFonts w:ascii="Cambria" w:hAnsi="Cambria"/>
                <w:bCs/>
                <w:sz w:val="20"/>
              </w:rPr>
              <w:t>Terenski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  <w:bookmarkEnd w:id="0"/>
            <w:r>
              <w:rPr>
                <w:rFonts w:ascii="Cambria" w:hAnsi="Cambria"/>
                <w:bCs/>
                <w:sz w:val="20"/>
              </w:rPr>
              <w:t xml:space="preserve">obilazak zaštićenog područja u kategoriji Parka prirode ili Nacionalnog parka; Natura 2000 i održivo upravljanje prirodnim resursima.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>
          <w:trHeight w:val="261" w:hRule="atLeast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Aktivno upravljanje zaštićenim područjima  - Parkovi prirode u RH.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>Terenski</w:t>
            </w:r>
            <w:r>
              <w:rPr>
                <w:rFonts w:ascii="Cambria" w:hAnsi="Cambria"/>
                <w:bCs/>
                <w:sz w:val="20"/>
              </w:rPr>
              <w:t xml:space="preserve">  obilazak zaštićenog područja u kategoriji Parka prirode ili Nacionalnog parka; Natura 2000 i održivo upravljanje prirodnim resursima.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  <w:lang w:val="it-IT"/>
              </w:rPr>
              <w:t>Aktivno upravljanje zaštićenim područjima  - Nacionalni parkovi u RH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3, 4, 5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>Terenski</w:t>
            </w:r>
            <w:r>
              <w:rPr>
                <w:rFonts w:ascii="Cambria" w:hAnsi="Cambria"/>
                <w:bCs/>
                <w:sz w:val="20"/>
              </w:rPr>
              <w:t xml:space="preserve">  obilazak zaštićenog područja u kategoriji Parka prirode ili Nacionalnog parka,; Natura 2000 i održivo upravljanje prirodnim resursima. I5,  I6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5, 6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BodyText2"/>
              <w:widowControl w:val="false"/>
              <w:snapToGrid w:val="false"/>
              <w:spacing w:before="40" w:after="0"/>
              <w:rPr>
                <w:rFonts w:ascii="Cambria" w:hAnsi="Cambria"/>
                <w:b w:val="false"/>
                <w:b w:val="false"/>
                <w:bCs/>
                <w:sz w:val="20"/>
              </w:rPr>
            </w:pPr>
            <w:r>
              <w:rPr>
                <w:rFonts w:ascii="Cambria" w:hAnsi="Cambria"/>
                <w:b w:val="false"/>
                <w:bCs/>
                <w:sz w:val="20"/>
                <w:lang w:val="it-IT"/>
              </w:rPr>
              <w:t>Međunarodna pravna zaštita područja RH.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Upravljanje Natura 2000 područjima.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ascii="Cambria" w:hAnsi="Cambria"/>
                <w:bCs/>
                <w:sz w:val="20"/>
              </w:rPr>
              <w:t>Terenski</w:t>
            </w:r>
            <w:r>
              <w:rPr>
                <w:rFonts w:ascii="Cambria" w:hAnsi="Cambria"/>
                <w:bCs/>
                <w:sz w:val="20"/>
              </w:rPr>
              <w:t xml:space="preserve">  obilazak zaštićenog područja u kategoriji Posebnog rezervata, Strogog rezervata, Spomenika prirode i/ili Natura 2000 područja, demonstracija značajki na terenu.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  <w:tr>
        <w:trPr/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15.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 xml:space="preserve">Sustav Crvenog popisa IUCN-a. 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Zeleni plan za Europu.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6, 7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/>
                <w:bCs/>
                <w:sz w:val="20"/>
              </w:rPr>
              <w:t>Terenski</w:t>
            </w:r>
            <w:r>
              <w:rPr>
                <w:rFonts w:ascii="Cambria" w:hAnsi="Cambria"/>
                <w:bCs/>
                <w:sz w:val="20"/>
              </w:rPr>
              <w:t xml:space="preserve">  obilazak zaštićenog područja u kategoriji Posebnog rezervata, Strogog rezervata, Spomenika prirode i/ili Natura 2000 područja, demonstracija značajki na terenu.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6</w:t>
            </w:r>
          </w:p>
        </w:tc>
      </w:tr>
    </w:tbl>
    <w:p>
      <w:pPr>
        <w:pStyle w:val="Normal"/>
        <w:spacing w:before="0" w:after="12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</w:r>
    </w:p>
    <w:p>
      <w:pPr>
        <w:pStyle w:val="Normal"/>
        <w:spacing w:before="0" w:after="120"/>
        <w:ind w:left="-426" w:hanging="0"/>
        <w:jc w:val="both"/>
        <w:rPr>
          <w:rFonts w:ascii="Cambria" w:hAnsi="Cambria" w:cs="Calibri"/>
          <w:b/>
          <w:b/>
          <w:sz w:val="20"/>
          <w:lang w:val="hr-HR"/>
        </w:rPr>
      </w:pPr>
      <w:r>
        <w:rPr>
          <w:rFonts w:cs="Calibri" w:ascii="Cambria" w:hAnsi="Cambria"/>
          <w:b/>
          <w:sz w:val="20"/>
          <w:lang w:val="hr-HR"/>
        </w:rPr>
        <w:t>Literatura (osnovna / dopunska)</w:t>
      </w:r>
    </w:p>
    <w:tbl>
      <w:tblPr>
        <w:tblW w:w="9640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0"/>
      </w:tblGrid>
      <w:tr>
        <w:trPr/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Osnovna</w:t>
            </w:r>
            <w:r>
              <w:rPr>
                <w:rFonts w:cs="Calibri" w:ascii="Cambria" w:hAnsi="Cambria"/>
                <w:sz w:val="20"/>
                <w:lang w:val="hr-HR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Martinić, I. (2010): Upravljanje zaštićenim područjima prirode. Šum. fakultet u Zagrebu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Ministarstvo zaštite okoliša i energetike i Hrvatska agencija za okoliš i prirodu (2018): Smjernice za planiranje upravljanja zaštićenim područjima i/ili područjima ekološke mreže. UNDP, Hrvatska.</w:t>
            </w:r>
          </w:p>
          <w:p>
            <w:pPr>
              <w:pStyle w:val="Normal"/>
              <w:widowControl w:val="false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b/>
                <w:sz w:val="20"/>
                <w:lang w:val="hr-HR"/>
              </w:rPr>
              <w:t>Dopunska</w:t>
            </w:r>
            <w:r>
              <w:rPr>
                <w:rFonts w:cs="Calibri" w:ascii="Cambria" w:hAnsi="Cambria"/>
                <w:sz w:val="20"/>
                <w:lang w:val="hr-HR"/>
              </w:rPr>
              <w:t xml:space="preserve">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Pullin, A. S. (2002): Conservation biology. Cambridge University Press;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Leung, Y.-F., A. Spenceley, G. Hvenegaard, R. Buckley (2015): Tourism and Visitor Management in Protected Areas: Guidelines towards sustainability. Best Practice Protected Area Guidelines, Gland, Switzerland: IUCN;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cs="Calibri" w:ascii="Cambria" w:hAnsi="Cambria"/>
                <w:sz w:val="20"/>
                <w:lang w:val="hr-HR"/>
              </w:rPr>
              <w:t>Eagles, Paul F.J., McCool, Stephen F., Haynes, Christopher D.A. (2002): Sustainable Tourism in Protected Areas: Guidelines for Planning and Management. IUCN Gland, Switzerland and Cambridge, UK. xv + 183pp.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851" w:header="454" w:top="1134" w:footer="454" w:bottom="964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Cs/>
        <w:iCs/>
        <w:sz w:val="14"/>
        <w:szCs w:val="1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0D9D51D0">
              <wp:simplePos x="0" y="0"/>
              <wp:positionH relativeFrom="column">
                <wp:posOffset>13970</wp:posOffset>
              </wp:positionH>
              <wp:positionV relativeFrom="paragraph">
                <wp:posOffset>-30480</wp:posOffset>
              </wp:positionV>
              <wp:extent cx="6128385" cy="2540"/>
              <wp:effectExtent l="5080" t="5080" r="5080" b="5080"/>
              <wp:wrapNone/>
              <wp:docPr id="2" name="Lin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792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.1pt,-2.5pt" to="483.55pt,-2.4pt" ID="Line 1" stroked="t" style="position:absolute;flip:y" wp14:anchorId="0D9D51D0">
              <v:stroke color="black" weight="9360" joinstyle="round" endcap="flat"/>
              <v:fill o:detectmouseclick="t" on="false"/>
            </v:line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W w:w="10065" w:type="dxa"/>
      <w:jc w:val="left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3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0065"/>
    </w:tblGrid>
    <w:tr>
      <w:trPr>
        <w:trHeight w:val="1134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widowControl w:val="false"/>
            <w:rPr>
              <w:b/>
              <w:b/>
              <w:sz w:val="28"/>
            </w:rPr>
          </w:pPr>
          <w:r>
            <w:rPr>
              <w:b/>
              <w:sz w:val="28"/>
            </w:rPr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3025" cy="952500"/>
                <wp:effectExtent l="0" t="0" r="0" b="0"/>
                <wp:wrapNone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30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Heading4"/>
            <w:widowControl w:val="false"/>
            <w:rPr/>
          </w:pPr>
          <w:r>
            <w:rPr/>
          </w:r>
        </w:p>
      </w:tc>
    </w:tr>
    <w:tr>
      <w:trPr>
        <w:trHeight w:val="567" w:hRule="exact"/>
        <w:cantSplit w:val="true"/>
      </w:trPr>
      <w:tc>
        <w:tcPr>
          <w:tcW w:w="1006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Heading1"/>
            <w:widowControl w:val="false"/>
            <w:rPr>
              <w:color w:val="808080"/>
              <w:sz w:val="16"/>
            </w:rPr>
          </w:pPr>
          <w:r>
            <w:rPr>
              <w:color w:val="808080"/>
              <w:sz w:val="16"/>
            </w:rPr>
          </w:r>
        </w:p>
        <w:p>
          <w:pPr>
            <w:pStyle w:val="Heading1"/>
            <w:widowControl w:val="false"/>
            <w:rPr>
              <w:szCs w:val="28"/>
            </w:rPr>
          </w:pPr>
          <w:r>
            <w:rPr>
              <w:szCs w:val="28"/>
            </w:rPr>
            <w:t>SYLLABUS KOLEGIJA</w:t>
          </w:r>
        </w:p>
        <w:p>
          <w:pPr>
            <w:pStyle w:val="Normal"/>
            <w:widowControl w:val="false"/>
            <w:rPr/>
          </w:pPr>
          <w:r>
            <w:rPr>
              <w:bCs/>
              <w:iCs/>
              <w:sz w:val="20"/>
            </w:rPr>
            <w:t xml:space="preserve"> </w:t>
          </w:r>
        </w:p>
      </w:tc>
    </w:tr>
  </w:tbl>
  <w:p>
    <w:pPr>
      <w:pStyle w:val="Header"/>
      <w:rPr>
        <w:sz w:val="8"/>
      </w:rPr>
    </w:pPr>
    <w:r>
      <w:rPr>
        <w:sz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 w:val="true"/>
      <w:overflowPunct w:val="false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 w:val="true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basedOn w:val="DefaultParagraphFont"/>
    <w:link w:val="BalloonText"/>
    <w:qFormat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Annotationreference">
    <w:name w:val="annotation reference"/>
    <w:basedOn w:val="DefaultParagraphFont"/>
    <w:qFormat/>
    <w:rsid w:val="00f33e02"/>
    <w:rPr>
      <w:sz w:val="16"/>
      <w:szCs w:val="16"/>
    </w:rPr>
  </w:style>
  <w:style w:type="character" w:styleId="CommentTextChar" w:customStyle="1">
    <w:name w:val="Comment Text Char"/>
    <w:basedOn w:val="DefaultParagraphFont"/>
    <w:qFormat/>
    <w:rsid w:val="00f33e02"/>
    <w:rPr>
      <w:rFonts w:ascii="Arial" w:hAnsi="Arial"/>
      <w:lang w:val="en-GB" w:eastAsia="en-US"/>
    </w:rPr>
  </w:style>
  <w:style w:type="character" w:styleId="CommentSubjectChar" w:customStyle="1">
    <w:name w:val="Comment Subject Char"/>
    <w:basedOn w:val="CommentTextChar"/>
    <w:semiHidden/>
    <w:qFormat/>
    <w:rsid w:val="00f33e02"/>
    <w:rPr>
      <w:rFonts w:ascii="Arial" w:hAnsi="Arial"/>
      <w:b/>
      <w:bCs/>
      <w:lang w:val="en-GB" w:eastAsia="en-US"/>
    </w:rPr>
  </w:style>
  <w:style w:type="character" w:styleId="BodyText2Char" w:customStyle="1">
    <w:name w:val="Body Text 2 Char"/>
    <w:basedOn w:val="DefaultParagraphFont"/>
    <w:link w:val="BodyText2"/>
    <w:qFormat/>
    <w:rsid w:val="00f10b86"/>
    <w:rPr>
      <w:rFonts w:ascii="Arial" w:hAnsi="Arial"/>
      <w:b/>
      <w:sz w:val="22"/>
      <w:lang w:val="en-GB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BodyText2Char"/>
    <w:qFormat/>
    <w:pPr/>
    <w:rPr>
      <w:b/>
    </w:rPr>
  </w:style>
  <w:style w:type="paragraph" w:styleId="BodyText3">
    <w:name w:val="Body Text 3"/>
    <w:basedOn w:val="Normal"/>
    <w:qFormat/>
    <w:pPr/>
    <w:rPr>
      <w:sz w:val="16"/>
    </w:rPr>
  </w:style>
  <w:style w:type="paragraph" w:styleId="Header1" w:customStyle="1">
    <w:name w:val="Header 1"/>
    <w:basedOn w:val="Title"/>
    <w:qFormat/>
    <w:pPr>
      <w:overflowPunct w:val="false"/>
      <w:spacing w:before="240" w:after="0"/>
      <w:ind w:right="100" w:hanging="0"/>
      <w:jc w:val="left"/>
      <w:textAlignment w:val="baseline"/>
    </w:pPr>
    <w:rPr>
      <w:rFonts w:ascii="Times New Roman" w:hAnsi="Times New Roman"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"/>
      <w:sz w:val="32"/>
    </w:rPr>
  </w:style>
  <w:style w:type="paragraph" w:styleId="Odlomakpopisa1" w:customStyle="1">
    <w:name w:val="Odlomak popisa1"/>
    <w:basedOn w:val="Normal"/>
    <w:qFormat/>
    <w:rsid w:val="00b054b7"/>
    <w:pPr>
      <w:spacing w:lineRule="auto" w:line="276" w:before="0" w:after="200"/>
      <w:ind w:left="720" w:hanging="0"/>
      <w:contextualSpacing/>
    </w:pPr>
    <w:rPr>
      <w:rFonts w:ascii="Calibri" w:hAnsi="Calibri" w:eastAsia="Calibri"/>
      <w:szCs w:val="22"/>
      <w:lang w:val="hr-HR"/>
    </w:rPr>
  </w:style>
  <w:style w:type="paragraph" w:styleId="BalloonText">
    <w:name w:val="Balloon Text"/>
    <w:basedOn w:val="Normal"/>
    <w:link w:val="BalloonTextChar"/>
    <w:qFormat/>
    <w:rsid w:val="0067056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qFormat/>
    <w:rsid w:val="00f33e02"/>
    <w:pPr/>
    <w:rPr>
      <w:sz w:val="20"/>
    </w:rPr>
  </w:style>
  <w:style w:type="paragraph" w:styleId="Annotationsubject">
    <w:name w:val="annotation subject"/>
    <w:basedOn w:val="Annotationtext"/>
    <w:link w:val="CommentSubjectChar"/>
    <w:semiHidden/>
    <w:unhideWhenUsed/>
    <w:qFormat/>
    <w:rsid w:val="00f33e02"/>
    <w:pPr/>
    <w:rPr>
      <w:b/>
      <w:bCs/>
    </w:rPr>
  </w:style>
  <w:style w:type="paragraph" w:styleId="ListParagraph">
    <w:name w:val="List Paragraph"/>
    <w:basedOn w:val="Normal"/>
    <w:uiPriority w:val="34"/>
    <w:qFormat/>
    <w:rsid w:val="008d0bf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729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3F84-F5C4-4E98-A9F9-FC2E88BC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LibreOffice/6.0.7.3$Windows_X86_64 LibreOffice_project/dc89aa7a9eabfd848af146d5086077aeed2ae4a5</Application>
  <Pages>4</Pages>
  <Words>1057</Words>
  <Characters>6750</Characters>
  <CharactersWithSpaces>7598</CharactersWithSpaces>
  <Paragraphs>247</Paragraphs>
  <Company>Karlovac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2023-10-31T14:02:00Z</dcterms:created>
  <dc:creator>Borislav Josipović</dc:creator>
  <dc:description/>
  <dc:language>hr-HR</dc:language>
  <cp:lastModifiedBy/>
  <cp:lastPrinted>2023-05-22T17:27:00Z</cp:lastPrinted>
  <dcterms:modified xsi:type="dcterms:W3CDTF">2025-10-02T16:15:11Z</dcterms:modified>
  <cp:revision>23</cp:revision>
  <dc:subject/>
  <dc:title>S A D R Ž A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Karlovac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