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ekologija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>2618</w:t>
            </w:r>
            <w:r>
              <w:rPr>
                <w:rFonts w:cs="Calibri" w:ascii="Cambria" w:hAnsi="Cambria"/>
                <w:sz w:val="20"/>
                <w:lang w:val="hr-HR"/>
              </w:rPr>
              <w:t>70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Dr. sc. Nina Popović, prof. struč. stud., Dr. sc. Zrinka Mesić, v. 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Prof. dr. sc. Đuro Huber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Stručni prijediplomski studij Lovstvo i zaštita prirode - </w:t>
            </w:r>
            <w:r>
              <w:rPr>
                <w:rFonts w:cs="Calibri" w:ascii="Cambria" w:hAnsi="Cambria"/>
                <w:sz w:val="20"/>
                <w:lang w:val="hr-HR"/>
              </w:rPr>
              <w:t>redovni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Opća biologija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Upoznavanje studenata s osnovnim pojmovima vezanim uz ekologiju i ekološke sustave. Studenti će usvojiti znanja o funkcioniranju kopnenih i vodenih ekoloških sustava. Cilj je osposobiti studente za razumijevanje utjecaja čovjeka na ekološku ravnotežu. Osposobiti studente za korištenje osnovnih metoda i opreme za ekološka istraživanja.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predavanjima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Prisustvo na vježbama – </w:t>
            </w:r>
            <w:r>
              <w:rPr>
                <w:rFonts w:cs="Calibri" w:ascii="Cambria" w:hAnsi="Cambria"/>
                <w:sz w:val="20"/>
                <w:lang w:val="hr-HR"/>
              </w:rPr>
              <w:t>8</w:t>
            </w:r>
            <w:r>
              <w:rPr>
                <w:rFonts w:cs="Calibri" w:ascii="Cambria" w:hAnsi="Cambria"/>
                <w:sz w:val="20"/>
                <w:lang w:val="hr-HR"/>
              </w:rPr>
              <w:t>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Prisustvo na vježbama – 100%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81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2693"/>
        <w:gridCol w:w="1136"/>
        <w:gridCol w:w="1275"/>
        <w:gridCol w:w="994"/>
        <w:gridCol w:w="994"/>
        <w:gridCol w:w="1839"/>
      </w:tblGrid>
      <w:tr>
        <w:trPr/>
        <w:tc>
          <w:tcPr>
            <w:tcW w:w="3542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136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Praktični rad </w:t>
            </w:r>
          </w:p>
        </w:tc>
        <w:tc>
          <w:tcPr>
            <w:tcW w:w="127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Seminarski rad</w:t>
            </w:r>
          </w:p>
        </w:tc>
        <w:tc>
          <w:tcPr>
            <w:tcW w:w="99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99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Prolaz</w:t>
            </w:r>
          </w:p>
        </w:tc>
        <w:tc>
          <w:tcPr>
            <w:tcW w:w="183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Vremenski okvir priznavanja ishoda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Definirati temeljne pojmove vezane uz ekologiju i ekološke sustave.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2,5</w:t>
            </w:r>
          </w:p>
        </w:tc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abiotičke i biotičke ekološke čimbenike i mehanizme njihova djelovanja.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7,5</w:t>
            </w:r>
          </w:p>
        </w:tc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Objasniti strukturu zajednice i koncept bioraznolikosti.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tip bioma i fazu u sukcesiji zajednice. Prepoznati utjecaj čovjeka na sukcesije ekosustava.</w:t>
            </w: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 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 xml:space="preserve">Razlikovati vrste polutanata i osnovne mehanizme njihova djelovanja. 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Razlikovati kvalitativne i kvantitativne metode ekoloških istraživanja.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7,5</w:t>
            </w:r>
          </w:p>
        </w:tc>
        <w:tc>
          <w:tcPr>
            <w:tcW w:w="183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Tijekom akademske godine</w:t>
            </w:r>
          </w:p>
        </w:tc>
      </w:tr>
      <w:tr>
        <w:trPr/>
        <w:tc>
          <w:tcPr>
            <w:tcW w:w="3542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40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20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  <w:tr>
        <w:trPr/>
        <w:tc>
          <w:tcPr>
            <w:tcW w:w="3542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136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12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1.5</w:t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9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1840"/>
        <w:gridCol w:w="1617"/>
        <w:gridCol w:w="1615"/>
        <w:gridCol w:w="1752"/>
        <w:gridCol w:w="944"/>
        <w:gridCol w:w="809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Uvjeti pristupanja ispitu</w:t>
            </w:r>
          </w:p>
        </w:tc>
        <w:tc>
          <w:tcPr>
            <w:tcW w:w="6737" w:type="dxa"/>
            <w:gridSpan w:val="5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Predan herbarij. Prisustvo na terenskim vježbama.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ISHODI</w:t>
            </w:r>
          </w:p>
        </w:tc>
        <w:tc>
          <w:tcPr>
            <w:tcW w:w="1615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pisani ispit </w:t>
            </w:r>
          </w:p>
        </w:tc>
        <w:tc>
          <w:tcPr>
            <w:tcW w:w="1752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usmeni ispit</w:t>
            </w:r>
          </w:p>
        </w:tc>
        <w:tc>
          <w:tcPr>
            <w:tcW w:w="944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>Ukupno</w:t>
            </w:r>
          </w:p>
        </w:tc>
        <w:tc>
          <w:tcPr>
            <w:tcW w:w="809" w:type="dxa"/>
            <w:tcBorders/>
            <w:shd w:color="auto" w:fill="auto" w:val="pct12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/>
                <w:kern w:val="0"/>
                <w:sz w:val="20"/>
                <w:szCs w:val="20"/>
                <w:lang w:val="hr-HR" w:bidi="ar-SA"/>
              </w:rPr>
              <w:t xml:space="preserve">Prolaz 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1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Definirati temeljne pojmove vezane uz ekologiju i ekološke sustave.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2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abiotičke i biotičke ekološke čimbenike i mehanizme njihova djelovanja.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3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Objasniti strukturu zajednice i koncept bioraznolikosti.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4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Prepoznati tip bioma i fazu u sukcesiji zajednice. Prepoznati utjecaj čovjeka na sukcesije ekosustava.</w:t>
            </w: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 xml:space="preserve">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5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 xml:space="preserve">Razlikovati vrste polutanata i osnovne mehanizme njihova djelovanja. 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Ishod 6</w:t>
            </w:r>
          </w:p>
        </w:tc>
        <w:tc>
          <w:tcPr>
            <w:tcW w:w="3457" w:type="dxa"/>
            <w:gridSpan w:val="2"/>
            <w:tcBorders/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Times New Roman" w:ascii="Cambria" w:hAnsi="Cambria"/>
                <w:kern w:val="0"/>
                <w:sz w:val="20"/>
                <w:szCs w:val="20"/>
                <w:lang w:bidi="ar-SA"/>
              </w:rPr>
              <w:t>Razlikovati kvalitativne i kvantitativne metode ekoloških istraživanja.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10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5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Ukupno % ocjenskih bodova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60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30</w:t>
            </w:r>
          </w:p>
        </w:tc>
      </w:tr>
      <w:tr>
        <w:trPr/>
        <w:tc>
          <w:tcPr>
            <w:tcW w:w="4308" w:type="dxa"/>
            <w:gridSpan w:val="3"/>
            <w:tcBorders/>
            <w:shd w:color="auto" w:fill="auto" w:val="pct10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kern w:val="0"/>
                <w:sz w:val="20"/>
                <w:szCs w:val="20"/>
                <w:lang w:val="hr-HR" w:bidi="ar-SA"/>
              </w:rPr>
              <w:t>Udio u ECTS</w:t>
            </w:r>
          </w:p>
        </w:tc>
        <w:tc>
          <w:tcPr>
            <w:tcW w:w="161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2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4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eastAsia="Times New Roman" w:cs="Calibri" w:ascii="Cambria" w:hAnsi="Cambria"/>
                <w:bCs/>
                <w:kern w:val="0"/>
                <w:sz w:val="20"/>
                <w:szCs w:val="20"/>
                <w:lang w:val="hr-HR" w:bidi="ar-SA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eastAsia="Times New Roman" w:cs="Times New Roman"/>
                <w:kern w:val="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Definicija ekologije, osnovni ekološki pojmovi: biosfera, biociklus, biom, ekosustav, biotop, biocenoza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Upoznavanje s izvorima podataka iz ekologije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Ekološke piramide brojeva, biomase i energije, energija u ekosustavu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 xml:space="preserve">Pojam bioraznolikosti i važnost bioraznolikosti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Abiotički ekološki čimbenici: geokemijski ciklusi minerala (C, O, H, N, P), svjetlost, toplina, voda, kiselost (pH), tlak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- Akvatika - raznolikost slatkovodnih ekosustava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abundancija, socijabilnost, dominacija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Prostorno mjerilo i raznolikost.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Izračunavanje indeksa raznolikosti.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areal aktivnosti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Crna Mlaka – mjerilo i raznolikost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natalitet, mortalitet, biotički potencijal, uzrasna struktura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Primjeri ekoloških modela: dinamika populacije, interakcije vrsta, sukcesija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3, 4, 5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dinamika populacija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- Rijeka Drava i porječje Drave - Sukcesije biocenoza, klimaks zajednice. Biomi: akvatički  i terestički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Interakcije vrsta: intra- i interspecijske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Prostorna struktura zajednica: bioraznolikost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 – Prostorna struktura zajednica na primjeru vodenih staništa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Sukcesije biocenoza, klimaks zajednice. Biomi: akvatički  i terestički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 – Metode ekoloških istraživanja, Metode procjena veličine populacija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Utjecaji čovjeka na ekološku ravnotežu: izravni  i neizravni - polucija (tipovi onečišćavanja)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– Rijeka Drava i porječje Drave: utjecaj čovjeka na ekosustave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Svjetska strategija zaštite okoliša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Biotički ekološki čimbenici: natalitet, mortalitet, biotički potencijal, uzrasna struktura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Metode ekoloških istraživanja: kvalitativna i kvantitativne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Terenska nastava u NP Risnjak ili NP Plitvička jezera –Struktura šumskih zajednica, utjecaj čovjeka na sukcesije ekosustava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3-6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Populacija: Regulacija veličine. Međuodnos predator – plijen, uloga čovjeka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Izlaganje seminarskih radova studenata.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Populacije divljih životinja: osobitosti i kriteriji za održivo iskorištavanje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sz w:val="20"/>
              </w:rPr>
              <w:t>Izlaganje seminarskih radova studenata.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1-6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Huber, Đ., Gomerčić, T., Kusak, J. (2015): Osnove ekologije. Sveučilišni udžbenik za studente veterinarske medicine. Veterinarski fakultet Sveučilišta u Zagrebu. 108 str.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Šolić, M. (2014) Ekologija populacija. Split, Institut za oceanografiju i ribarstvo.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Šolić, M. (2018) Ekologija zajednica i ekosustava. Zagreb, Golden marketing-Tehnička knjiga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Bioportal: http://www.bioportal.hr/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Invazivne vrste: http://www.invazivnevrste.hr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Crvene knjige i crveni popisi: http://www.haop.hr/hr/tematska-podrucja/prirodne-vrijednosti-stanje-i-ocuvanje/ugrozenost-vrsta-i-stanista/crveni-popisi</w:t>
            </w:r>
          </w:p>
          <w:p>
            <w:pPr>
              <w:pStyle w:val="ListParagraph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Dopunska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Krebs, C. J. (2009): Ecology. Pearson Education Inc., 655 str.</w:t>
            </w:r>
          </w:p>
          <w:p>
            <w:pPr>
              <w:pStyle w:val="ListParagraph"/>
              <w:widowControl w:val="false"/>
              <w:ind w:left="283" w:hanging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  <w:p>
            <w:pPr>
              <w:pStyle w:val="ListParagraph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jc w:val="both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605" cy="1606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" cy="1606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.15pt;height:12.65pt;mso-wrap-distance-left:5.7pt;mso-wrap-distance-right:5.7pt;mso-wrap-distance-top:5.7pt;mso-wrap-distance-bottom:5.7pt;margin-top:5.7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FrameContents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-33655</wp:posOffset>
              </wp:positionV>
              <wp:extent cx="6127115" cy="1270"/>
              <wp:effectExtent l="5080" t="5080" r="5080" b="5080"/>
              <wp:wrapNone/>
              <wp:docPr id="3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7pt" to="483.45pt,-2.7pt" ID="Line 1" stroked="t" style="position:absolute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2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link w:val="Annotationsubject"/>
    <w:semiHidden/>
    <w:qFormat/>
    <w:rsid w:val="00f33e02"/>
    <w:rPr>
      <w:rFonts w:ascii="Arial" w:hAnsi="Arial"/>
      <w:b/>
      <w:bCs/>
      <w:lang w:val="en-GB" w:eastAsia="en-US"/>
    </w:rPr>
  </w:style>
  <w:style w:type="character" w:styleId="InternetLink">
    <w:name w:val="Internet Link"/>
    <w:basedOn w:val="DefaultParagraphFont"/>
    <w:rsid w:val="003b307b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C5350-311A-49AA-BC50-C37CE005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LibreOffice/6.0.7.3$Windows_X86_64 LibreOffice_project/dc89aa7a9eabfd848af146d5086077aeed2ae4a5</Application>
  <Pages>3</Pages>
  <Words>844</Words>
  <Characters>5262</Characters>
  <CharactersWithSpaces>5897</CharactersWithSpaces>
  <Paragraphs>233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2024-01-23T13:18:00Z</dcterms:created>
  <dc:creator>Borislav Josipović</dc:creator>
  <dc:description/>
  <dc:language>en-US</dc:language>
  <cp:lastModifiedBy/>
  <cp:lastPrinted>2023-05-22T17:27:00Z</cp:lastPrinted>
  <dcterms:modified xsi:type="dcterms:W3CDTF">2025-10-10T11:54:02Z</dcterms:modified>
  <cp:revision>18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</Properties>
</file>