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jpeg" ContentType="image/jpeg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Monitoring herpetofaune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261919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 sc. Nina Popović, prof. struč. stud.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000000"/>
                <w:sz w:val="20"/>
                <w:lang w:val="hr-HR"/>
              </w:rPr>
            </w:pP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Dr. sc. Biljana Janev Hutinec, 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2.5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Studenti će se upoznati s raznolikošću herpetofaune Republike Hrvatske te naučiti osnovne metode istraživanja i praćenja stanja herpetofaune.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0 %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0%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Prisustvo na vježbama – 100%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nastavi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9"/>
        <w:gridCol w:w="2368"/>
        <w:gridCol w:w="1166"/>
        <w:gridCol w:w="1350"/>
        <w:gridCol w:w="1167"/>
        <w:gridCol w:w="1083"/>
        <w:gridCol w:w="1847"/>
      </w:tblGrid>
      <w:tr>
        <w:trPr/>
        <w:tc>
          <w:tcPr>
            <w:tcW w:w="3167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166" w:type="dxa"/>
            <w:tcBorders>
              <w:right w:val="nil"/>
            </w:tcBorders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Kolokvij</w:t>
            </w:r>
          </w:p>
        </w:tc>
        <w:tc>
          <w:tcPr>
            <w:tcW w:w="1350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Praktični rad</w:t>
            </w:r>
          </w:p>
        </w:tc>
        <w:tc>
          <w:tcPr>
            <w:tcW w:w="1167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1083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1847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Opisati osnovne anatomske i morfološke značajke vodozemaca i gmazova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vodozemce i njihove razvojne oblike pomoću ključeva za određivanje vrsta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vodozemaca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gmazove pomoću ključeva za određivanje vrsta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79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gmazova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167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60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167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166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bookmarkStart w:id="0" w:name="_GoBack"/>
            <w:bookmarkEnd w:id="0"/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73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841"/>
        <w:gridCol w:w="1616"/>
        <w:gridCol w:w="1559"/>
        <w:gridCol w:w="1616"/>
        <w:gridCol w:w="1136"/>
        <w:gridCol w:w="1114"/>
      </w:tblGrid>
      <w:tr>
        <w:trPr/>
        <w:tc>
          <w:tcPr>
            <w:tcW w:w="269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7041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55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616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1136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111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Opisati osnovne anatomske i morfološke značajke vodozemaca i gmazova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vodozemce i njihove razvojne oblike pomoću ključeva za određivanje vrsta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vodozemaca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Identificirati gmazove pomoću ključeva za određivanje vrsta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val="hr-HR" w:bidi="ar-SA"/>
              </w:rPr>
              <w:t>Primijeniti terenske metode istraživanja gmazova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111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Sistematika vodozemaca i gmazova.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Osnovne anatomske i morfološke karakteristike vodozemaca -1. dio.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vodozemaca.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Osnovne anatomske i morfološke karakteristike gmazova – 2. dio.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kornjača.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Prepoznavanje faune vodozemaca Hrvatske; korištenje ključeva za determinaciju.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guštera.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Prepoznavanje faune gmazova Hrvatske – 1. dio; korištenje ključeva za determinaciju.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Anatomija i morfologija zmija.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Prepoznavanje faune gmazova Hrvatske – 2. dio; korištenje ključeva za determinaciju.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2, 4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1. dio (vodenjaci).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Terenska oprema za istraživanje i praćenje stanja herpetofaune.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2. dio (daždevnjaci).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3. dio (bezrepci 1).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istraživanja kopnene herpetofaune – terenska nastava.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vodozemaca HR i EU  – 4. dio (bezrepci 2).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gmazova HR i EU  – 1. dio (kornjača).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gmazova HR i EU  – 2. dio (guštera).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kopnene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Biologija i ekologija gmazova HR i EU  – 3. dio (zmija).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slatkovodne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Metodologija istraživanja i praćenja stanja morske i slatkovodne herpetofaune.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slatkovodne herpetofaune – terenska nastava.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Metodologija istraživanja i praćenja stanja kopnene herpetofaune  - 1.dio. I3, I5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istraživanja slatkovodne herpetofaune – terenska nastava.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Metodologija istraživanja i praćenja stanja kopnene herpetofaune  - 2.dio. I3, I5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istraživanja slatkovodne herpetofaune – terenska nastava.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3, 5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Janev Hutinec, B. (2008): Vodozemci i gmazovi - Priručnik za inventarizaciju i praćenje stanja. Državni zavod za zaštitu prirode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Arnold N., Ovenden D. (2002) Reptiles and Amphibians of Britain and Europe. Collins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Jelić, D., Kuljerić, M., Koren, T., Treer, D., Šalamon, D., Lončar, M., Podnar-Lešić, M., Janev Hutinec, B., Bogdanović, T., Mekinić, S. i Jelić, K. (2015): Crvena knjiga vodozemaca i gmazova Hrvatske. Državni zavod za zaštitu prirode, Zagreb</w:t>
            </w:r>
          </w:p>
        </w:tc>
      </w:tr>
    </w:tbl>
    <w:p>
      <w:pPr>
        <w:pStyle w:val="Normal"/>
        <w:jc w:val="both"/>
        <w:rPr>
          <w:rFonts w:ascii="Cambria" w:hAnsi="Cambria" w:cs="Calibri"/>
          <w:b/>
          <w:b/>
          <w:sz w:val="20"/>
          <w:lang w:val="hr-H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454" w:top="1134" w:footer="454" w:bottom="96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swiss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5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31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31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semiHidden/>
    <w:qFormat/>
    <w:rsid w:val="00f33e02"/>
    <w:rPr>
      <w:rFonts w:ascii="Arial" w:hAnsi="Arial"/>
      <w:b/>
      <w:bCs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  <w:outlineLvl w:val="9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5045-A452-4AC9-97ED-ED28A878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LibreOffice/7.4.7.2$Linux_X86_64 LibreOffice_project/40$Build-2</Application>
  <AppVersion>15.0000</AppVersion>
  <Pages>3</Pages>
  <Words>711</Words>
  <Characters>4202</Characters>
  <CharactersWithSpaces>4788</CharactersWithSpaces>
  <Paragraphs>194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2024-02-14T11:52:00Z</dcterms:created>
  <dc:creator>Borislav Josipović</dc:creator>
  <dc:description/>
  <dc:language>en-US</dc:language>
  <cp:lastModifiedBy/>
  <cp:lastPrinted>2023-05-22T17:27:00Z</cp:lastPrinted>
  <dcterms:modified xsi:type="dcterms:W3CDTF">2025-10-24T11:53:10Z</dcterms:modified>
  <cp:revision>17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