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1786E822" w:rsidR="00B3767F" w:rsidRPr="001E488F" w:rsidRDefault="00260CB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Protupožarna zaštita u prirodi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947B8E3" w:rsidR="00CD26C5" w:rsidRPr="001E488F" w:rsidRDefault="00260CB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191847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5D0AB383" w:rsidR="0088777F" w:rsidRPr="0088777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Marko Ožura, </w:t>
            </w:r>
            <w:proofErr w:type="spellStart"/>
            <w:proofErr w:type="gramStart"/>
            <w:r>
              <w:rPr>
                <w:rFonts w:ascii="Cambria" w:hAnsi="Cambria" w:cs="Calibri"/>
                <w:sz w:val="20"/>
              </w:rPr>
              <w:t>univ.mag.ing.silv</w:t>
            </w:r>
            <w:proofErr w:type="spellEnd"/>
            <w:proofErr w:type="gramEnd"/>
            <w:r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>
              <w:rPr>
                <w:rFonts w:ascii="Cambria" w:hAnsi="Cambria" w:cs="Calibri"/>
                <w:sz w:val="20"/>
              </w:rPr>
              <w:t>v.pred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32DECFA8" w:rsidR="00CD26C5" w:rsidRPr="001E488F" w:rsidRDefault="00260CB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r w:rsidR="0042566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5E48BABA" w:rsidR="00CD26C5" w:rsidRPr="001E488F" w:rsidRDefault="00260CB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</w:t>
            </w:r>
            <w:r w:rsidR="00577564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4B5BB98E" w:rsidR="00CD26C5" w:rsidRPr="00630907" w:rsidRDefault="00A42F9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2011A7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1CB274CC" w:rsidR="00CD26C5" w:rsidRPr="001E488F" w:rsidRDefault="002B7BE9" w:rsidP="0089003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B7BE9">
              <w:rPr>
                <w:rFonts w:ascii="Cambria" w:hAnsi="Cambria"/>
                <w:sz w:val="20"/>
                <w:lang w:val="hr-HR"/>
              </w:rPr>
              <w:t xml:space="preserve">Programom kolegija student usvaja temeljna znanja iz područja </w:t>
            </w:r>
            <w:r w:rsidR="00260CBC">
              <w:rPr>
                <w:rFonts w:ascii="Cambria" w:hAnsi="Cambria"/>
                <w:sz w:val="20"/>
                <w:lang w:val="hr-HR"/>
              </w:rPr>
              <w:t>zaštite šuma i općenito protupožarne zaštite.</w:t>
            </w:r>
            <w:r w:rsidRPr="002B7BE9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260CBC">
              <w:rPr>
                <w:rFonts w:ascii="Cambria" w:hAnsi="Cambria"/>
                <w:sz w:val="20"/>
                <w:lang w:val="hr-HR"/>
              </w:rPr>
              <w:t xml:space="preserve">Klasifikacije ugroženosti eko sustava, elemente planova za zaštitu od požara. 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205AA7" w14:paraId="5F9C8F62" w14:textId="77777777" w:rsidTr="002A4E40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2779D478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4394" w:type="dxa"/>
          </w:tcPr>
          <w:p w14:paraId="6DC58B66" w14:textId="7F40393A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0829A7" w:rsidRPr="00205AA7" w14:paraId="14C53E4A" w14:textId="77777777" w:rsidTr="002A4E40">
        <w:tc>
          <w:tcPr>
            <w:tcW w:w="3969" w:type="dxa"/>
            <w:vAlign w:val="center"/>
          </w:tcPr>
          <w:p w14:paraId="14358C8E" w14:textId="2E75F156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6AF36843" w:rsidR="000829A7" w:rsidRPr="00205AA7" w:rsidRDefault="002B7BE9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5B249D16" w14:textId="731ECA35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829A7" w:rsidRPr="00205AA7" w14:paraId="53712377" w14:textId="77777777" w:rsidTr="002A4E40">
        <w:tc>
          <w:tcPr>
            <w:tcW w:w="3969" w:type="dxa"/>
            <w:vAlign w:val="center"/>
          </w:tcPr>
          <w:p w14:paraId="67BFC1F9" w14:textId="0313377D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61DE5898" w:rsidR="000829A7" w:rsidRPr="00205AA7" w:rsidRDefault="002B7BE9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</w:tc>
        <w:tc>
          <w:tcPr>
            <w:tcW w:w="4394" w:type="dxa"/>
          </w:tcPr>
          <w:p w14:paraId="784D959A" w14:textId="5DE06E83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45A997A3" w14:textId="77777777" w:rsidTr="0028483B">
        <w:tc>
          <w:tcPr>
            <w:tcW w:w="3969" w:type="dxa"/>
            <w:vAlign w:val="center"/>
          </w:tcPr>
          <w:p w14:paraId="323A1382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47187437" w:rsidR="00FF20CF" w:rsidRPr="00205AA7" w:rsidRDefault="002B7BE9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3F7964EF" w14:textId="29E43804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terenskoj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177CFF70" w14:textId="77777777" w:rsidTr="0028483B">
        <w:tc>
          <w:tcPr>
            <w:tcW w:w="3969" w:type="dxa"/>
            <w:vAlign w:val="center"/>
          </w:tcPr>
          <w:p w14:paraId="162B279A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FF20CF" w:rsidRPr="00205AA7" w14:paraId="1A0960C5" w14:textId="77777777" w:rsidTr="0028483B">
        <w:tc>
          <w:tcPr>
            <w:tcW w:w="3969" w:type="dxa"/>
            <w:shd w:val="clear" w:color="auto" w:fill="D9D9D9"/>
            <w:vAlign w:val="center"/>
          </w:tcPr>
          <w:p w14:paraId="31601B0B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155E4041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4394" w:type="dxa"/>
            <w:shd w:val="clear" w:color="auto" w:fill="D9D9D9"/>
          </w:tcPr>
          <w:p w14:paraId="728446DC" w14:textId="4504E7AE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00443E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606F9ABC" w14:textId="77777777" w:rsidTr="00B910D0">
        <w:tc>
          <w:tcPr>
            <w:tcW w:w="3969" w:type="dxa"/>
            <w:shd w:val="clear" w:color="auto" w:fill="D9D9D9"/>
            <w:vAlign w:val="center"/>
          </w:tcPr>
          <w:p w14:paraId="5BDE6A51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FF20CF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4C81D7D1" w14:textId="77777777" w:rsidR="00F9748E" w:rsidRPr="00205AA7" w:rsidRDefault="00F9748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0"/>
        <w:gridCol w:w="2673"/>
        <w:gridCol w:w="708"/>
        <w:gridCol w:w="709"/>
        <w:gridCol w:w="615"/>
        <w:gridCol w:w="600"/>
        <w:gridCol w:w="600"/>
        <w:gridCol w:w="945"/>
        <w:gridCol w:w="811"/>
        <w:gridCol w:w="1390"/>
      </w:tblGrid>
      <w:tr w:rsidR="00792EB2" w:rsidRPr="00205AA7" w14:paraId="001676D0" w14:textId="77777777" w:rsidTr="00BF160C">
        <w:tc>
          <w:tcPr>
            <w:tcW w:w="3403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708" w:type="dxa"/>
            <w:shd w:val="pct12" w:color="auto" w:fill="auto"/>
            <w:vAlign w:val="center"/>
          </w:tcPr>
          <w:p w14:paraId="2CF28C99" w14:textId="1D73AAA7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70089CAD" w14:textId="5E06BD00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II</w:t>
            </w:r>
          </w:p>
        </w:tc>
        <w:tc>
          <w:tcPr>
            <w:tcW w:w="615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00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00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390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792EB2" w:rsidRPr="00205AA7" w14:paraId="20F0EDC8" w14:textId="77777777" w:rsidTr="00BF160C">
        <w:tc>
          <w:tcPr>
            <w:tcW w:w="730" w:type="dxa"/>
            <w:shd w:val="pct10" w:color="auto" w:fill="auto"/>
            <w:vAlign w:val="center"/>
          </w:tcPr>
          <w:p w14:paraId="78D8CA26" w14:textId="6171570F" w:rsidR="0012519C" w:rsidRPr="00205AA7" w:rsidRDefault="0012519C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673" w:type="dxa"/>
          </w:tcPr>
          <w:p w14:paraId="3B6DA506" w14:textId="6C2BEFFB" w:rsidR="0012519C" w:rsidRPr="00577564" w:rsidRDefault="00260CBC" w:rsidP="00577564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60CBC">
              <w:rPr>
                <w:rFonts w:ascii="Cambria" w:hAnsi="Cambria" w:cstheme="minorHAnsi"/>
                <w:sz w:val="20"/>
              </w:rPr>
              <w:t>Definirati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opisati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nastajanje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požara,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proces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gorenja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osnove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gašenja</w:t>
            </w:r>
            <w:proofErr w:type="spellEnd"/>
          </w:p>
        </w:tc>
        <w:tc>
          <w:tcPr>
            <w:tcW w:w="708" w:type="dxa"/>
            <w:vAlign w:val="center"/>
          </w:tcPr>
          <w:p w14:paraId="2FD003AD" w14:textId="05301916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709" w:type="dxa"/>
            <w:vAlign w:val="center"/>
          </w:tcPr>
          <w:p w14:paraId="5A29CC4D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5" w:type="dxa"/>
            <w:vAlign w:val="center"/>
          </w:tcPr>
          <w:p w14:paraId="108F989E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FDE956D" w14:textId="3CA50D98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4C24880C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51061453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F47E800" w14:textId="292F1CAA" w:rsidR="0012519C" w:rsidRPr="00205AA7" w:rsidRDefault="007A3019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491760FF" w14:textId="6DDB3F4E" w:rsidR="0012519C" w:rsidRPr="00486104" w:rsidRDefault="00486104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20B53C2F" w14:textId="77777777" w:rsidTr="00BF160C">
        <w:tc>
          <w:tcPr>
            <w:tcW w:w="730" w:type="dxa"/>
            <w:shd w:val="pct10" w:color="auto" w:fill="auto"/>
            <w:vAlign w:val="center"/>
          </w:tcPr>
          <w:p w14:paraId="55DECEA6" w14:textId="49E650FE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673" w:type="dxa"/>
          </w:tcPr>
          <w:p w14:paraId="2EB372AA" w14:textId="65845A07" w:rsidR="007A3019" w:rsidRPr="00577564" w:rsidRDefault="00260CBC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976B15">
              <w:rPr>
                <w:rFonts w:ascii="Cambria" w:hAnsi="Cambria" w:cs="Arial"/>
                <w:sz w:val="20"/>
                <w:lang w:val="hr-HR"/>
              </w:rPr>
              <w:t>Objasniti sredstva za gašenje, opremu, sustave i tehnike protupožarnoj zaštiti</w:t>
            </w:r>
          </w:p>
        </w:tc>
        <w:tc>
          <w:tcPr>
            <w:tcW w:w="708" w:type="dxa"/>
            <w:vAlign w:val="center"/>
          </w:tcPr>
          <w:p w14:paraId="5FAA8A99" w14:textId="03D7ECFF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709" w:type="dxa"/>
            <w:vAlign w:val="center"/>
          </w:tcPr>
          <w:p w14:paraId="2C93F6AF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5" w:type="dxa"/>
            <w:vAlign w:val="center"/>
          </w:tcPr>
          <w:p w14:paraId="436B6F04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0B8EC552" w14:textId="3037696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548EF2CB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0A6A16B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6F00E13" w14:textId="6FDB32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7F349E98" w14:textId="3C00B0F8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6E14D1E" w14:textId="77777777" w:rsidTr="00BF160C">
        <w:tc>
          <w:tcPr>
            <w:tcW w:w="730" w:type="dxa"/>
            <w:shd w:val="pct10" w:color="auto" w:fill="auto"/>
            <w:vAlign w:val="center"/>
          </w:tcPr>
          <w:p w14:paraId="63D2A06D" w14:textId="48C10CC3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673" w:type="dxa"/>
          </w:tcPr>
          <w:p w14:paraId="5B0078CE" w14:textId="37D1D5C2" w:rsidR="007A3019" w:rsidRPr="00577564" w:rsidRDefault="00260CBC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Klasificirati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ugroženost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ekosustava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prema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požarima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i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značenje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meteoroloških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indeksa</w:t>
            </w:r>
            <w:proofErr w:type="spellEnd"/>
          </w:p>
        </w:tc>
        <w:tc>
          <w:tcPr>
            <w:tcW w:w="708" w:type="dxa"/>
            <w:vAlign w:val="center"/>
          </w:tcPr>
          <w:p w14:paraId="22616F22" w14:textId="4ED9A33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709" w:type="dxa"/>
            <w:vAlign w:val="center"/>
          </w:tcPr>
          <w:p w14:paraId="0EF136A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5" w:type="dxa"/>
            <w:vAlign w:val="center"/>
          </w:tcPr>
          <w:p w14:paraId="56CA9390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348BCE8F" w14:textId="7134FE4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3AE6041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08753C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35CEB387" w14:textId="096EFC5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72801638" w14:textId="0191E2A1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96AE6E9" w14:textId="77777777" w:rsidTr="00BF160C">
        <w:tc>
          <w:tcPr>
            <w:tcW w:w="730" w:type="dxa"/>
            <w:shd w:val="pct10" w:color="auto" w:fill="auto"/>
            <w:vAlign w:val="center"/>
          </w:tcPr>
          <w:p w14:paraId="7C584B97" w14:textId="5008AC36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673" w:type="dxa"/>
          </w:tcPr>
          <w:p w14:paraId="4F8D5DA2" w14:textId="05732A5F" w:rsidR="007A3019" w:rsidRPr="00577564" w:rsidRDefault="00BF160C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Prepoznati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preventivne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radove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u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gospodarskim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,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zaštitnim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i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šumama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posebne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namjene</w:t>
            </w:r>
            <w:proofErr w:type="spellEnd"/>
          </w:p>
        </w:tc>
        <w:tc>
          <w:tcPr>
            <w:tcW w:w="708" w:type="dxa"/>
            <w:vAlign w:val="center"/>
          </w:tcPr>
          <w:p w14:paraId="6258DBEF" w14:textId="3C276D0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05FA583D" w14:textId="75248D3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15" w:type="dxa"/>
            <w:vAlign w:val="center"/>
          </w:tcPr>
          <w:p w14:paraId="7017CBA9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5BED18BD" w14:textId="2E77F81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F5539FD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40CBBF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62F182D" w14:textId="6E2EF90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31DAFEBA" w14:textId="54AFE75F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BF160C" w:rsidRPr="0012519C" w14:paraId="3902A62A" w14:textId="77777777" w:rsidTr="00BF160C">
        <w:tc>
          <w:tcPr>
            <w:tcW w:w="730" w:type="dxa"/>
            <w:shd w:val="pct10" w:color="auto" w:fill="auto"/>
            <w:vAlign w:val="center"/>
          </w:tcPr>
          <w:p w14:paraId="55293B1B" w14:textId="217E59D5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673" w:type="dxa"/>
          </w:tcPr>
          <w:p w14:paraId="333E63A0" w14:textId="16AAFF62" w:rsidR="00BF160C" w:rsidRPr="00577564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Definirati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pojmove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sanacija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požarišta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,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opisati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sustave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za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rano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otkrivanje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požara</w:t>
            </w:r>
          </w:p>
        </w:tc>
        <w:tc>
          <w:tcPr>
            <w:tcW w:w="708" w:type="dxa"/>
            <w:vAlign w:val="center"/>
          </w:tcPr>
          <w:p w14:paraId="29CD5912" w14:textId="7D4DF860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45DECE59" w14:textId="4978B2DF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15" w:type="dxa"/>
            <w:vAlign w:val="center"/>
          </w:tcPr>
          <w:p w14:paraId="0F9EF8C3" w14:textId="189BB09E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0BA0ECE" w14:textId="5290D080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587A1A9" w14:textId="7777777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31FBF833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2462515B" w14:textId="478948C4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5CD6D6FE" w14:textId="7B4BF9C8" w:rsidR="00BF160C" w:rsidRPr="00486104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BF160C" w:rsidRPr="00630907" w14:paraId="20FBBB0F" w14:textId="77777777" w:rsidTr="00BF160C">
        <w:trPr>
          <w:trHeight w:val="1088"/>
        </w:trPr>
        <w:tc>
          <w:tcPr>
            <w:tcW w:w="730" w:type="dxa"/>
            <w:shd w:val="pct10" w:color="auto" w:fill="auto"/>
            <w:vAlign w:val="center"/>
          </w:tcPr>
          <w:p w14:paraId="4AC64813" w14:textId="1463EE5F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673" w:type="dxa"/>
          </w:tcPr>
          <w:p w14:paraId="169B3B8B" w14:textId="46307E20" w:rsidR="00BF160C" w:rsidRPr="00577564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20"/>
                <w:lang w:val="hr-HR"/>
              </w:rPr>
            </w:pP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Razlikovati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planove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i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ustrojstvo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službi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za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zaštitu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i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spašavanje</w:t>
            </w:r>
            <w:proofErr w:type="spellEnd"/>
          </w:p>
        </w:tc>
        <w:tc>
          <w:tcPr>
            <w:tcW w:w="708" w:type="dxa"/>
            <w:vAlign w:val="center"/>
          </w:tcPr>
          <w:p w14:paraId="33C7DBF1" w14:textId="7B80C890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154D7AA1" w14:textId="3A30F88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15" w:type="dxa"/>
            <w:vAlign w:val="center"/>
          </w:tcPr>
          <w:p w14:paraId="5866304E" w14:textId="7777777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357F48E" w14:textId="7777777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404DCBB8" w14:textId="7777777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78FF648F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3D08FC3" w14:textId="3C8CE08E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332802AF" w14:textId="2CBA63E5" w:rsidR="00BF160C" w:rsidRPr="00486104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BF160C" w:rsidRPr="00205AA7" w14:paraId="6CF15AC8" w14:textId="77777777" w:rsidTr="00BF160C">
        <w:trPr>
          <w:gridAfter w:val="1"/>
          <w:wAfter w:w="1390" w:type="dxa"/>
        </w:trPr>
        <w:tc>
          <w:tcPr>
            <w:tcW w:w="3403" w:type="dxa"/>
            <w:gridSpan w:val="2"/>
            <w:shd w:val="pct10" w:color="auto" w:fill="auto"/>
            <w:vAlign w:val="center"/>
          </w:tcPr>
          <w:p w14:paraId="6D578312" w14:textId="3B066F7B" w:rsidR="00BF160C" w:rsidRPr="00205AA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708" w:type="dxa"/>
            <w:vAlign w:val="center"/>
          </w:tcPr>
          <w:p w14:paraId="5A84337C" w14:textId="01A55954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709" w:type="dxa"/>
            <w:vAlign w:val="center"/>
          </w:tcPr>
          <w:p w14:paraId="1CB806E6" w14:textId="428D8762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615" w:type="dxa"/>
            <w:vAlign w:val="center"/>
          </w:tcPr>
          <w:p w14:paraId="5AED59C7" w14:textId="747E68C1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5E9A1849" w14:textId="27D36961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1C3BA31E" w14:textId="7777777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CCF9289" w14:textId="3AC4BAD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77ED1175" w14:textId="7777777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BF160C" w:rsidRPr="00205AA7" w14:paraId="0DDF5E24" w14:textId="5CC3A944" w:rsidTr="00BF160C">
        <w:trPr>
          <w:gridAfter w:val="1"/>
          <w:wAfter w:w="1390" w:type="dxa"/>
        </w:trPr>
        <w:tc>
          <w:tcPr>
            <w:tcW w:w="3403" w:type="dxa"/>
            <w:gridSpan w:val="2"/>
            <w:shd w:val="pct10" w:color="auto" w:fill="auto"/>
            <w:vAlign w:val="center"/>
          </w:tcPr>
          <w:p w14:paraId="7379F503" w14:textId="11C13A88" w:rsidR="00BF160C" w:rsidRPr="0088777F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lastRenderedPageBreak/>
              <w:t>Udio u ECTS</w:t>
            </w:r>
          </w:p>
        </w:tc>
        <w:tc>
          <w:tcPr>
            <w:tcW w:w="708" w:type="dxa"/>
            <w:vAlign w:val="center"/>
          </w:tcPr>
          <w:p w14:paraId="37E7DE8D" w14:textId="56AEB09A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1,25</w:t>
            </w:r>
          </w:p>
        </w:tc>
        <w:tc>
          <w:tcPr>
            <w:tcW w:w="709" w:type="dxa"/>
            <w:vAlign w:val="center"/>
          </w:tcPr>
          <w:p w14:paraId="55519B72" w14:textId="06B9BA8F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1,25</w:t>
            </w:r>
          </w:p>
        </w:tc>
        <w:tc>
          <w:tcPr>
            <w:tcW w:w="615" w:type="dxa"/>
            <w:vAlign w:val="center"/>
          </w:tcPr>
          <w:p w14:paraId="36C53530" w14:textId="3E41CAC9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469644EF" w14:textId="2CD68F3C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4D4F3547" w14:textId="7777777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8A457DF" w14:textId="46BD2720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2,5</w:t>
            </w:r>
          </w:p>
        </w:tc>
        <w:tc>
          <w:tcPr>
            <w:tcW w:w="811" w:type="dxa"/>
            <w:vAlign w:val="center"/>
          </w:tcPr>
          <w:p w14:paraId="594187F8" w14:textId="7777777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3AA05995" w14:textId="77777777" w:rsidR="00D90EF2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CEC7C2C" w14:textId="77777777" w:rsidR="00D90EF2" w:rsidRPr="00205AA7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BF160C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7DF546A3" w:rsidR="00BF160C" w:rsidRPr="00BF160C" w:rsidRDefault="00BF160C" w:rsidP="00BF160C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Definirati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opisati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nastajanje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požara, </w:t>
            </w:r>
            <w:proofErr w:type="spellStart"/>
            <w:r w:rsidRPr="00BF160C">
              <w:rPr>
                <w:rFonts w:ascii="Cambria" w:hAnsi="Cambria"/>
                <w:sz w:val="20"/>
              </w:rPr>
              <w:t>proces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gorenja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osnove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gašenja</w:t>
            </w:r>
            <w:proofErr w:type="spellEnd"/>
          </w:p>
        </w:tc>
        <w:tc>
          <w:tcPr>
            <w:tcW w:w="1615" w:type="dxa"/>
            <w:vAlign w:val="center"/>
          </w:tcPr>
          <w:p w14:paraId="47C8C6A8" w14:textId="467B90CD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1C992E11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7DB4B5B4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2A4D975E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BF160C" w:rsidRPr="0028114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39287500" w:rsidR="00BF160C" w:rsidRPr="00BF160C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Objasniti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sredstva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opremu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sustave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tehnike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protupožarnoj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zaštiti</w:t>
            </w:r>
            <w:proofErr w:type="spellEnd"/>
          </w:p>
        </w:tc>
        <w:tc>
          <w:tcPr>
            <w:tcW w:w="1615" w:type="dxa"/>
            <w:vAlign w:val="center"/>
          </w:tcPr>
          <w:p w14:paraId="1A82674F" w14:textId="5BC2B728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57F95578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1350B191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19B8BA68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BF160C" w:rsidRPr="0028114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5F07F4BC" w:rsidR="00BF160C" w:rsidRPr="00BF160C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Klasificirati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ugroženost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ekosustava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prema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požarima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značenje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meteoroloških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indeksa</w:t>
            </w:r>
            <w:proofErr w:type="spellEnd"/>
          </w:p>
        </w:tc>
        <w:tc>
          <w:tcPr>
            <w:tcW w:w="1615" w:type="dxa"/>
            <w:vAlign w:val="center"/>
          </w:tcPr>
          <w:p w14:paraId="16682D20" w14:textId="32ED1B8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4D45CB3B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09927153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52123D4A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BF160C" w:rsidRPr="00281142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1C6482AB" w:rsidR="00BF160C" w:rsidRPr="00BF160C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Prepoznati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preventivne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radove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BF160C">
              <w:rPr>
                <w:rFonts w:ascii="Cambria" w:hAnsi="Cambria"/>
                <w:sz w:val="20"/>
              </w:rPr>
              <w:t>gospodarskim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zaštitnim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šumama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posebne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namjene</w:t>
            </w:r>
            <w:proofErr w:type="spellEnd"/>
          </w:p>
        </w:tc>
        <w:tc>
          <w:tcPr>
            <w:tcW w:w="1615" w:type="dxa"/>
            <w:vAlign w:val="center"/>
          </w:tcPr>
          <w:p w14:paraId="19F764F7" w14:textId="0A06A8B9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3C8367B9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182EE59F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5A2BCE31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BF160C" w:rsidRPr="00281142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2748811B" w:rsidR="00BF160C" w:rsidRPr="00BF160C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Definirati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pojmove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sanacija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požarišta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opisati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sustave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/>
                <w:sz w:val="20"/>
              </w:rPr>
              <w:t>rano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otkrivanje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</w:t>
            </w:r>
          </w:p>
        </w:tc>
        <w:tc>
          <w:tcPr>
            <w:tcW w:w="1615" w:type="dxa"/>
            <w:vAlign w:val="center"/>
          </w:tcPr>
          <w:p w14:paraId="732557C7" w14:textId="78980A3E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7BCDE17C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45040B8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5CF9143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BF160C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0F0F9BE3" w:rsidR="00BF160C" w:rsidRPr="00BF160C" w:rsidRDefault="00BF160C" w:rsidP="00BF160C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Razlikovati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planove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ustrojstvo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službi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zaštitu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spašavanje</w:t>
            </w:r>
            <w:proofErr w:type="spellEnd"/>
          </w:p>
        </w:tc>
        <w:tc>
          <w:tcPr>
            <w:tcW w:w="1615" w:type="dxa"/>
            <w:vAlign w:val="center"/>
          </w:tcPr>
          <w:p w14:paraId="6A164F91" w14:textId="31391FA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77800648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057DF65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4C601696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2C395B2A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188D4457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FC3A300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63BA362F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62845D00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</w:t>
            </w:r>
            <w:r w:rsidR="0089003E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1752" w:type="dxa"/>
            <w:vAlign w:val="center"/>
          </w:tcPr>
          <w:p w14:paraId="2D9F670D" w14:textId="51A30A3A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</w:t>
            </w:r>
            <w:r w:rsidR="0089003E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944" w:type="dxa"/>
            <w:vAlign w:val="center"/>
          </w:tcPr>
          <w:p w14:paraId="08E02E10" w14:textId="12F4CC09" w:rsidR="00395E37" w:rsidRPr="00630907" w:rsidRDefault="0089003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6B6184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CE12A4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BF160C" w:rsidRPr="00343047" w14:paraId="06BE3741" w14:textId="54676CD6" w:rsidTr="00CE12A4">
        <w:tc>
          <w:tcPr>
            <w:tcW w:w="880" w:type="dxa"/>
            <w:vAlign w:val="center"/>
          </w:tcPr>
          <w:p w14:paraId="65990956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31D15132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Općenito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o </w:t>
            </w:r>
            <w:proofErr w:type="spellStart"/>
            <w:r w:rsidRPr="00BF160C">
              <w:rPr>
                <w:rFonts w:ascii="Cambria" w:hAnsi="Cambria"/>
                <w:sz w:val="20"/>
              </w:rPr>
              <w:t>požarima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vrstama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uzrocima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proofErr w:type="gramStart"/>
            <w:r w:rsidRPr="00BF160C">
              <w:rPr>
                <w:rFonts w:ascii="Cambria" w:hAnsi="Cambria"/>
                <w:sz w:val="20"/>
              </w:rPr>
              <w:t>nastajanja,gorenju</w:t>
            </w:r>
            <w:proofErr w:type="spellEnd"/>
            <w:proofErr w:type="gram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širenju,faktori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rizika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0E104CB0" w14:textId="76257F8B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0AC2B886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Definicija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klasifikacija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</w:t>
            </w:r>
          </w:p>
        </w:tc>
        <w:tc>
          <w:tcPr>
            <w:tcW w:w="851" w:type="dxa"/>
          </w:tcPr>
          <w:p w14:paraId="1EC72842" w14:textId="2E70E789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BF160C" w:rsidRPr="001E488F" w14:paraId="08AF8660" w14:textId="59602FA3" w:rsidTr="00CE12A4">
        <w:tc>
          <w:tcPr>
            <w:tcW w:w="880" w:type="dxa"/>
            <w:vAlign w:val="center"/>
          </w:tcPr>
          <w:p w14:paraId="4A5A7A40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7E106358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Osnove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</w:t>
            </w:r>
          </w:p>
        </w:tc>
        <w:tc>
          <w:tcPr>
            <w:tcW w:w="821" w:type="dxa"/>
          </w:tcPr>
          <w:p w14:paraId="0A141DB0" w14:textId="0388D7BA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7AC59344" w14:textId="7B391BE6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Primjena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sredstava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gašenje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 i zaštita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okoliša</w:t>
            </w:r>
            <w:proofErr w:type="spellEnd"/>
          </w:p>
        </w:tc>
        <w:tc>
          <w:tcPr>
            <w:tcW w:w="851" w:type="dxa"/>
          </w:tcPr>
          <w:p w14:paraId="5A105AE0" w14:textId="0D228BAF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BF160C" w:rsidRPr="001E488F" w14:paraId="03151EF7" w14:textId="407B3B56" w:rsidTr="00CE12A4">
        <w:tc>
          <w:tcPr>
            <w:tcW w:w="880" w:type="dxa"/>
            <w:vAlign w:val="center"/>
          </w:tcPr>
          <w:p w14:paraId="50C2CF4A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07AB1900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Vatrogasna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oprema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uređaji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sredstva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</w:t>
            </w:r>
          </w:p>
        </w:tc>
        <w:tc>
          <w:tcPr>
            <w:tcW w:w="821" w:type="dxa"/>
          </w:tcPr>
          <w:p w14:paraId="297CF564" w14:textId="76C03D32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2F058D93" w14:textId="532B126A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Primjena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tehnika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tehnologija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u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gašenju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šumskih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</w:t>
            </w:r>
          </w:p>
        </w:tc>
        <w:tc>
          <w:tcPr>
            <w:tcW w:w="851" w:type="dxa"/>
          </w:tcPr>
          <w:p w14:paraId="52A024AA" w14:textId="7525ABA5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BF160C" w:rsidRPr="001E488F" w14:paraId="7DE525DB" w14:textId="64AB601A" w:rsidTr="00CE12A4">
        <w:tc>
          <w:tcPr>
            <w:tcW w:w="880" w:type="dxa"/>
            <w:vAlign w:val="center"/>
          </w:tcPr>
          <w:p w14:paraId="5C51A60C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4ED9E1D2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Vatrodojavni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sustavi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stabilni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sustavi</w:t>
            </w:r>
            <w:proofErr w:type="spellEnd"/>
          </w:p>
        </w:tc>
        <w:tc>
          <w:tcPr>
            <w:tcW w:w="821" w:type="dxa"/>
          </w:tcPr>
          <w:p w14:paraId="32ACB86B" w14:textId="68B12168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3AF90297" w14:textId="30186352" w:rsidR="00BF160C" w:rsidRPr="00BF160C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Upoznavanje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s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vatrogasnim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uređajima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opremom</w:t>
            </w:r>
            <w:proofErr w:type="spellEnd"/>
          </w:p>
        </w:tc>
        <w:tc>
          <w:tcPr>
            <w:tcW w:w="851" w:type="dxa"/>
          </w:tcPr>
          <w:p w14:paraId="1D92B730" w14:textId="3F8ECA68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BF160C" w:rsidRPr="001E488F" w14:paraId="1F815EF6" w14:textId="208A7BF0" w:rsidTr="00CE12A4">
        <w:tc>
          <w:tcPr>
            <w:tcW w:w="880" w:type="dxa"/>
            <w:vAlign w:val="center"/>
          </w:tcPr>
          <w:p w14:paraId="5AEA3BF1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443CBBA4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Tehnologije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tehnike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 </w:t>
            </w:r>
            <w:proofErr w:type="spellStart"/>
            <w:r w:rsidRPr="00BF160C">
              <w:rPr>
                <w:rFonts w:ascii="Cambria" w:hAnsi="Cambria"/>
                <w:sz w:val="20"/>
              </w:rPr>
              <w:t>otvorenog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prostora</w:t>
            </w:r>
            <w:proofErr w:type="spellEnd"/>
          </w:p>
        </w:tc>
        <w:tc>
          <w:tcPr>
            <w:tcW w:w="821" w:type="dxa"/>
          </w:tcPr>
          <w:p w14:paraId="51DABE7B" w14:textId="26D82E50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16824AEF" w14:textId="1C5B0CC9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Upoznavanje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s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sredstvima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gašenje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</w:t>
            </w:r>
          </w:p>
        </w:tc>
        <w:tc>
          <w:tcPr>
            <w:tcW w:w="851" w:type="dxa"/>
          </w:tcPr>
          <w:p w14:paraId="7BC1754F" w14:textId="60E86BCC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BF160C" w:rsidRPr="001E488F" w14:paraId="07AF5C67" w14:textId="47BE50B5" w:rsidTr="00CE12A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0EFDCAF1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Sredstva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 u </w:t>
            </w:r>
            <w:proofErr w:type="spellStart"/>
            <w:r w:rsidRPr="00BF160C">
              <w:rPr>
                <w:rFonts w:ascii="Cambria" w:hAnsi="Cambria"/>
                <w:sz w:val="20"/>
              </w:rPr>
              <w:t>vodozaštitnim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pojasevima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zaštićenim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parkovima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prirode</w:t>
            </w:r>
            <w:proofErr w:type="spellEnd"/>
          </w:p>
        </w:tc>
        <w:tc>
          <w:tcPr>
            <w:tcW w:w="821" w:type="dxa"/>
          </w:tcPr>
          <w:p w14:paraId="2035F0B7" w14:textId="0E57EF58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35E0AF3C" w14:textId="5FC31105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Tehnologija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gašenja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otvorenog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prostora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s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osvrtom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na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vatrogasnu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taktiku</w:t>
            </w:r>
            <w:proofErr w:type="spellEnd"/>
          </w:p>
        </w:tc>
        <w:tc>
          <w:tcPr>
            <w:tcW w:w="851" w:type="dxa"/>
          </w:tcPr>
          <w:p w14:paraId="6B2B1714" w14:textId="0EA49AFB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BF160C" w:rsidRPr="001E488F" w14:paraId="7CF4FA88" w14:textId="6F21469C" w:rsidTr="00CE12A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70991C86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Ekosustavi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prema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ugroženosti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od požara</w:t>
            </w:r>
          </w:p>
        </w:tc>
        <w:tc>
          <w:tcPr>
            <w:tcW w:w="821" w:type="dxa"/>
          </w:tcPr>
          <w:p w14:paraId="1BBFA678" w14:textId="0956D539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D9F2256" w14:textId="523954CF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Šumski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ekosustavi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vegetacija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Mediterana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klasifikacija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ugroženosti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zaštita</w:t>
            </w:r>
          </w:p>
        </w:tc>
        <w:tc>
          <w:tcPr>
            <w:tcW w:w="851" w:type="dxa"/>
          </w:tcPr>
          <w:p w14:paraId="6A9EC1AF" w14:textId="3BE8284A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BF160C" w:rsidRPr="001E488F" w14:paraId="36BB7C26" w14:textId="67794FE2" w:rsidTr="00CE12A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62CFB7BC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Prognoziranje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izbijanja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 (</w:t>
            </w:r>
            <w:proofErr w:type="spellStart"/>
            <w:r w:rsidRPr="00BF160C">
              <w:rPr>
                <w:rFonts w:ascii="Cambria" w:hAnsi="Cambria"/>
                <w:sz w:val="20"/>
              </w:rPr>
              <w:t>meteorološki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indeks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stanje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vlage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vjetar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) </w:t>
            </w:r>
          </w:p>
        </w:tc>
        <w:tc>
          <w:tcPr>
            <w:tcW w:w="821" w:type="dxa"/>
          </w:tcPr>
          <w:p w14:paraId="265894A4" w14:textId="4B4D5E3B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5ABD99A0" w14:textId="52B8061D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Fitocenološke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zajednice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kontinentalnog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dijela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RH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klasifikacija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ugroženosti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zaštita</w:t>
            </w:r>
          </w:p>
        </w:tc>
        <w:tc>
          <w:tcPr>
            <w:tcW w:w="851" w:type="dxa"/>
          </w:tcPr>
          <w:p w14:paraId="33FA6DDD" w14:textId="42329EB2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BF160C" w:rsidRPr="001E488F" w14:paraId="19C7BFD1" w14:textId="29558C2E" w:rsidTr="00CE12A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7F4E42B2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Ciljevi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zadaci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preventive</w:t>
            </w:r>
          </w:p>
        </w:tc>
        <w:tc>
          <w:tcPr>
            <w:tcW w:w="821" w:type="dxa"/>
          </w:tcPr>
          <w:p w14:paraId="7046C37A" w14:textId="3746B562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35BC7455" w14:textId="1E0C7D12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Ekološki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čimbenici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meteorologija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1EF92D5" w14:textId="7AAB58AF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BF160C" w:rsidRPr="001E488F" w14:paraId="3E3CFC02" w14:textId="6EE0D236" w:rsidTr="00CE12A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4F7251F7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Preventivne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protupožarne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mjere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šuma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– </w:t>
            </w:r>
            <w:proofErr w:type="spellStart"/>
            <w:r w:rsidRPr="00BF160C">
              <w:rPr>
                <w:rFonts w:ascii="Cambria" w:hAnsi="Cambria"/>
                <w:sz w:val="20"/>
              </w:rPr>
              <w:t>šume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posebne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namjene</w:t>
            </w:r>
            <w:proofErr w:type="spellEnd"/>
          </w:p>
        </w:tc>
        <w:tc>
          <w:tcPr>
            <w:tcW w:w="821" w:type="dxa"/>
          </w:tcPr>
          <w:p w14:paraId="780E1EF7" w14:textId="0C157694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46E0EEFB" w14:textId="3B915B6F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Sustavi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rano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otkrivanje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</w:t>
            </w:r>
          </w:p>
        </w:tc>
        <w:tc>
          <w:tcPr>
            <w:tcW w:w="851" w:type="dxa"/>
          </w:tcPr>
          <w:p w14:paraId="41ED63D8" w14:textId="60A70AE9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BF160C" w:rsidRPr="001E488F" w14:paraId="54D77C65" w14:textId="4B1C239E" w:rsidTr="00CE12A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615F38C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Preventivne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protupožarne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mjere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šuma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gospodarske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šume</w:t>
            </w:r>
            <w:proofErr w:type="spellEnd"/>
          </w:p>
        </w:tc>
        <w:tc>
          <w:tcPr>
            <w:tcW w:w="821" w:type="dxa"/>
          </w:tcPr>
          <w:p w14:paraId="77FB3F29" w14:textId="01CC4E76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E1B3545" w14:textId="6C99BE97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Biološke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tehnike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sanacije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opožarenih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površina</w:t>
            </w:r>
            <w:proofErr w:type="spellEnd"/>
          </w:p>
        </w:tc>
        <w:tc>
          <w:tcPr>
            <w:tcW w:w="851" w:type="dxa"/>
          </w:tcPr>
          <w:p w14:paraId="118F4F8D" w14:textId="41CDC340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BF160C" w:rsidRPr="001E488F" w14:paraId="24026CC4" w14:textId="41EB7DF5" w:rsidTr="00CE12A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12.</w:t>
            </w:r>
          </w:p>
        </w:tc>
        <w:tc>
          <w:tcPr>
            <w:tcW w:w="3657" w:type="dxa"/>
          </w:tcPr>
          <w:p w14:paraId="54AF2CB9" w14:textId="58D38BE9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Sanacija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opožarenih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površina</w:t>
            </w:r>
            <w:proofErr w:type="spellEnd"/>
          </w:p>
        </w:tc>
        <w:tc>
          <w:tcPr>
            <w:tcW w:w="821" w:type="dxa"/>
          </w:tcPr>
          <w:p w14:paraId="7942304F" w14:textId="11470680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F539184" w14:textId="72597B6F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Tehnički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elementi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sanacije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-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erozija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degradacija</w:t>
            </w:r>
            <w:proofErr w:type="spellEnd"/>
          </w:p>
        </w:tc>
        <w:tc>
          <w:tcPr>
            <w:tcW w:w="851" w:type="dxa"/>
          </w:tcPr>
          <w:p w14:paraId="024C0084" w14:textId="6FB80254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BF160C" w:rsidRPr="001E488F" w14:paraId="161AD308" w14:textId="38BC79A2" w:rsidTr="00CE12A4">
        <w:tc>
          <w:tcPr>
            <w:tcW w:w="880" w:type="dxa"/>
            <w:vAlign w:val="center"/>
          </w:tcPr>
          <w:p w14:paraId="0C135FB1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041839A6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Zakonska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regulativa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protupožarne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0435EB1E" w14:textId="66C06FE3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455AEAB" w14:textId="39C9D921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r w:rsidRPr="00BF160C">
              <w:rPr>
                <w:rFonts w:ascii="Cambria" w:hAnsi="Cambria" w:cstheme="minorHAnsi"/>
                <w:sz w:val="20"/>
              </w:rPr>
              <w:t xml:space="preserve">Plan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zaštite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od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procjena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ugroženosti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NP</w:t>
            </w:r>
          </w:p>
        </w:tc>
        <w:tc>
          <w:tcPr>
            <w:tcW w:w="851" w:type="dxa"/>
          </w:tcPr>
          <w:p w14:paraId="3192FFBD" w14:textId="007C2ABF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:rsidR="00BF160C" w:rsidRPr="001E488F" w14:paraId="13FFF96E" w14:textId="6F69D5DE" w:rsidTr="00CE12A4">
        <w:tc>
          <w:tcPr>
            <w:tcW w:w="880" w:type="dxa"/>
            <w:vAlign w:val="center"/>
          </w:tcPr>
          <w:p w14:paraId="1E1E8598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6E7367A0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Ustrojstvo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vatrogastva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u RH </w:t>
            </w:r>
            <w:proofErr w:type="spellStart"/>
            <w:r w:rsidRPr="00BF160C">
              <w:rPr>
                <w:rFonts w:ascii="Cambria" w:hAnsi="Cambria"/>
                <w:sz w:val="20"/>
              </w:rPr>
              <w:t>unutar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sustava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Državne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uprave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7194CAC8" w14:textId="6CCBD216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23B5E431" w14:textId="6F69E35F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Upravljanje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požarima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planovi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A3E882E" w14:textId="5D80A1CB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:rsidR="00BF160C" w:rsidRPr="00343047" w14:paraId="24B4C472" w14:textId="5BFB2127" w:rsidTr="00CE12A4">
        <w:tc>
          <w:tcPr>
            <w:tcW w:w="880" w:type="dxa"/>
            <w:vAlign w:val="center"/>
          </w:tcPr>
          <w:p w14:paraId="5E10AB54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440B03DB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Operativni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programi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javnih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ustanova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njihova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provedba</w:t>
            </w:r>
            <w:proofErr w:type="spellEnd"/>
          </w:p>
        </w:tc>
        <w:tc>
          <w:tcPr>
            <w:tcW w:w="821" w:type="dxa"/>
          </w:tcPr>
          <w:p w14:paraId="1807363D" w14:textId="7F9C62A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B2A66C0" w14:textId="00266A6C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Sustav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112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državne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uprave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C33CA35" w14:textId="3AF0B1EB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4A9FC74A" w14:textId="76EB592B" w:rsidR="00BF160C" w:rsidRPr="00E230ED" w:rsidRDefault="00BF160C" w:rsidP="00BF160C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E230ED">
              <w:rPr>
                <w:rFonts w:ascii="Cambria" w:hAnsi="Cambria"/>
                <w:sz w:val="20"/>
              </w:rPr>
              <w:t>Ivančić</w:t>
            </w:r>
            <w:proofErr w:type="spellEnd"/>
            <w:r w:rsidRPr="00E230ED">
              <w:rPr>
                <w:rFonts w:ascii="Cambria" w:hAnsi="Cambria"/>
                <w:sz w:val="20"/>
              </w:rPr>
              <w:t>, Z., S. Kirin (2010):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Izvori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požarne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opasnosti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E230ED">
              <w:rPr>
                <w:rFonts w:ascii="Cambria" w:hAnsi="Cambria"/>
                <w:sz w:val="20"/>
              </w:rPr>
              <w:t>Veleučilište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E230ED">
              <w:rPr>
                <w:rFonts w:ascii="Cambria" w:hAnsi="Cambria"/>
                <w:sz w:val="20"/>
              </w:rPr>
              <w:t>Karlovcu</w:t>
            </w:r>
            <w:proofErr w:type="spellEnd"/>
            <w:r w:rsidRPr="00E230ED">
              <w:rPr>
                <w:rFonts w:ascii="Cambria" w:hAnsi="Cambria"/>
                <w:sz w:val="20"/>
              </w:rPr>
              <w:t>, Karlovac.</w:t>
            </w:r>
          </w:p>
          <w:p w14:paraId="6EAD2D7C" w14:textId="77777777" w:rsidR="00BF160C" w:rsidRPr="00E230ED" w:rsidRDefault="00BF160C" w:rsidP="00BF160C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E230ED">
              <w:rPr>
                <w:rFonts w:ascii="Cambria" w:hAnsi="Cambria"/>
                <w:sz w:val="20"/>
              </w:rPr>
              <w:t>Carević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, M. i sur. (1997): </w:t>
            </w:r>
            <w:proofErr w:type="spellStart"/>
            <w:r w:rsidRPr="00E230ED">
              <w:rPr>
                <w:rFonts w:ascii="Cambria" w:hAnsi="Cambria"/>
                <w:sz w:val="20"/>
              </w:rPr>
              <w:t>Tehnički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priručnik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E230ED">
              <w:rPr>
                <w:rFonts w:ascii="Cambria" w:hAnsi="Cambria"/>
                <w:sz w:val="20"/>
              </w:rPr>
              <w:t>zaštitu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od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proofErr w:type="gramStart"/>
            <w:r w:rsidRPr="00E230ED">
              <w:rPr>
                <w:rFonts w:ascii="Cambria" w:hAnsi="Cambria"/>
                <w:sz w:val="20"/>
              </w:rPr>
              <w:t>požara,Zagrebinspekt</w:t>
            </w:r>
            <w:proofErr w:type="spellEnd"/>
            <w:proofErr w:type="gramEnd"/>
            <w:r w:rsidRPr="00E230ED">
              <w:rPr>
                <w:rFonts w:ascii="Cambria" w:hAnsi="Cambria"/>
                <w:sz w:val="20"/>
              </w:rPr>
              <w:t>, d.o.o., Zagreb.</w:t>
            </w:r>
          </w:p>
          <w:p w14:paraId="04B6D274" w14:textId="77777777" w:rsidR="00BF160C" w:rsidRPr="00E230ED" w:rsidRDefault="00BF160C" w:rsidP="00BF160C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E230ED">
              <w:rPr>
                <w:rFonts w:ascii="Cambria" w:hAnsi="Cambria"/>
                <w:sz w:val="20"/>
              </w:rPr>
              <w:t>Bertović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, S. i sur. (1987): </w:t>
            </w:r>
            <w:proofErr w:type="spellStart"/>
            <w:r w:rsidRPr="00E230ED">
              <w:rPr>
                <w:rFonts w:ascii="Cambria" w:hAnsi="Cambria"/>
                <w:sz w:val="20"/>
              </w:rPr>
              <w:t>Osnove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zaštite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šuma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od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požara, CIP, d.o.o., Zagreb.</w:t>
            </w:r>
          </w:p>
          <w:p w14:paraId="74B46EE6" w14:textId="77777777" w:rsidR="00BF160C" w:rsidRPr="00E230ED" w:rsidRDefault="00BF160C" w:rsidP="00BF160C">
            <w:pPr>
              <w:spacing w:before="40"/>
              <w:rPr>
                <w:rFonts w:ascii="Cambria" w:hAnsi="Cambria"/>
                <w:sz w:val="20"/>
                <w:u w:val="single"/>
              </w:rPr>
            </w:pPr>
            <w:proofErr w:type="spellStart"/>
            <w:r w:rsidRPr="00E230ED">
              <w:rPr>
                <w:rFonts w:ascii="Cambria" w:hAnsi="Cambria"/>
                <w:sz w:val="20"/>
                <w:u w:val="single"/>
              </w:rPr>
              <w:t>Dopunska</w:t>
            </w:r>
            <w:proofErr w:type="spellEnd"/>
            <w:r w:rsidRPr="00E230ED">
              <w:rPr>
                <w:rFonts w:ascii="Cambria" w:hAnsi="Cambria"/>
                <w:sz w:val="20"/>
                <w:u w:val="single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  <w:u w:val="single"/>
              </w:rPr>
              <w:t>literatura</w:t>
            </w:r>
            <w:proofErr w:type="spellEnd"/>
            <w:r w:rsidRPr="00E230ED">
              <w:rPr>
                <w:rFonts w:ascii="Cambria" w:hAnsi="Cambria"/>
                <w:sz w:val="20"/>
                <w:u w:val="single"/>
              </w:rPr>
              <w:t>:</w:t>
            </w:r>
          </w:p>
          <w:p w14:paraId="490F67B0" w14:textId="77777777" w:rsidR="00BF160C" w:rsidRPr="00E230ED" w:rsidRDefault="00BF160C" w:rsidP="00BF160C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E230ED">
              <w:rPr>
                <w:rFonts w:ascii="Cambria" w:hAnsi="Cambria"/>
                <w:sz w:val="20"/>
              </w:rPr>
              <w:t>Popović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, Ž. i sur. (2006): </w:t>
            </w:r>
            <w:proofErr w:type="spellStart"/>
            <w:r w:rsidRPr="00E230ED">
              <w:rPr>
                <w:rFonts w:ascii="Cambria" w:hAnsi="Cambria"/>
                <w:sz w:val="20"/>
              </w:rPr>
              <w:t>Priručnik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E230ED">
              <w:rPr>
                <w:rFonts w:ascii="Cambria" w:hAnsi="Cambria"/>
                <w:sz w:val="20"/>
              </w:rPr>
              <w:t>osposobljavanja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vatrogasnih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dočasnika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E230ED">
              <w:rPr>
                <w:rFonts w:ascii="Cambria" w:hAnsi="Cambria"/>
                <w:sz w:val="20"/>
              </w:rPr>
              <w:t>časnika</w:t>
            </w:r>
            <w:proofErr w:type="spellEnd"/>
            <w:r w:rsidRPr="00E230ED">
              <w:rPr>
                <w:rFonts w:ascii="Cambria" w:hAnsi="Cambria"/>
                <w:sz w:val="20"/>
              </w:rPr>
              <w:t>, HVZ, Zagreb.</w:t>
            </w:r>
          </w:p>
          <w:p w14:paraId="1D934444" w14:textId="39674A72" w:rsidR="008D0BF3" w:rsidRPr="004F1AC4" w:rsidRDefault="008D0BF3" w:rsidP="004F1A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71728" w:rsidRPr="001E488F" w14:paraId="31142868" w14:textId="77777777" w:rsidTr="00ED38CA">
        <w:tc>
          <w:tcPr>
            <w:tcW w:w="9640" w:type="dxa"/>
            <w:shd w:val="clear" w:color="auto" w:fill="auto"/>
            <w:vAlign w:val="center"/>
          </w:tcPr>
          <w:p w14:paraId="2F497B83" w14:textId="77777777" w:rsidR="00771728" w:rsidRDefault="00771728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71728" w:rsidRPr="001E488F" w14:paraId="54558A6C" w14:textId="77777777" w:rsidTr="00ED38CA">
        <w:tc>
          <w:tcPr>
            <w:tcW w:w="9640" w:type="dxa"/>
            <w:shd w:val="clear" w:color="auto" w:fill="auto"/>
            <w:vAlign w:val="center"/>
          </w:tcPr>
          <w:p w14:paraId="6EA1E831" w14:textId="77777777" w:rsidR="00771728" w:rsidRDefault="00771728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16D56A7" w14:textId="77777777" w:rsidR="002011A7" w:rsidRPr="002011A7" w:rsidRDefault="002011A7" w:rsidP="002011A7"/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429"/>
      </w:tblGrid>
      <w:tr w:rsidR="002011A7" w:rsidRPr="002011A7" w14:paraId="081D6E46" w14:textId="77777777" w:rsidTr="002011A7">
        <w:tc>
          <w:tcPr>
            <w:tcW w:w="9429" w:type="dxa"/>
          </w:tcPr>
          <w:p w14:paraId="414ED3BA" w14:textId="482E46D6" w:rsidR="002011A7" w:rsidRPr="002011A7" w:rsidRDefault="002011A7" w:rsidP="002011A7"/>
        </w:tc>
      </w:tr>
      <w:tr w:rsidR="002011A7" w:rsidRPr="002011A7" w14:paraId="36C31B50" w14:textId="77777777" w:rsidTr="002011A7">
        <w:tc>
          <w:tcPr>
            <w:tcW w:w="9429" w:type="dxa"/>
          </w:tcPr>
          <w:p w14:paraId="114C4A17" w14:textId="77777777" w:rsidR="002011A7" w:rsidRPr="002011A7" w:rsidRDefault="002011A7" w:rsidP="002011A7"/>
        </w:tc>
      </w:tr>
      <w:tr w:rsidR="002011A7" w:rsidRPr="002011A7" w14:paraId="102B3F8F" w14:textId="77777777" w:rsidTr="002011A7">
        <w:tc>
          <w:tcPr>
            <w:tcW w:w="9429" w:type="dxa"/>
          </w:tcPr>
          <w:p w14:paraId="522C7FAF" w14:textId="77777777" w:rsidR="002011A7" w:rsidRPr="002011A7" w:rsidRDefault="002011A7" w:rsidP="002011A7"/>
        </w:tc>
      </w:tr>
      <w:tr w:rsidR="002011A7" w:rsidRPr="002011A7" w14:paraId="4D445468" w14:textId="77777777" w:rsidTr="002011A7">
        <w:tc>
          <w:tcPr>
            <w:tcW w:w="9429" w:type="dxa"/>
          </w:tcPr>
          <w:p w14:paraId="2792FEC3" w14:textId="77777777" w:rsidR="002011A7" w:rsidRPr="002011A7" w:rsidRDefault="002011A7" w:rsidP="002011A7"/>
        </w:tc>
      </w:tr>
      <w:tr w:rsidR="002011A7" w:rsidRPr="002011A7" w14:paraId="781B0FB8" w14:textId="77777777" w:rsidTr="002011A7">
        <w:tc>
          <w:tcPr>
            <w:tcW w:w="9429" w:type="dxa"/>
          </w:tcPr>
          <w:p w14:paraId="51670441" w14:textId="7E5AB57E" w:rsidR="002011A7" w:rsidRPr="002011A7" w:rsidRDefault="002011A7" w:rsidP="002011A7"/>
        </w:tc>
      </w:tr>
      <w:tr w:rsidR="002011A7" w:rsidRPr="002011A7" w14:paraId="77BEC2CB" w14:textId="77777777" w:rsidTr="002011A7">
        <w:tc>
          <w:tcPr>
            <w:tcW w:w="9429" w:type="dxa"/>
          </w:tcPr>
          <w:p w14:paraId="41370B71" w14:textId="315D33D5" w:rsidR="002011A7" w:rsidRPr="002011A7" w:rsidRDefault="002011A7" w:rsidP="002011A7"/>
        </w:tc>
      </w:tr>
    </w:tbl>
    <w:p w14:paraId="5850F4B5" w14:textId="0F552DAF" w:rsidR="002011A7" w:rsidRPr="002011A7" w:rsidRDefault="002011A7" w:rsidP="00CE12A4"/>
    <w:sectPr w:rsidR="002011A7" w:rsidRPr="002011A7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031C" w14:textId="77777777" w:rsidR="0070090C" w:rsidRDefault="0070090C">
      <w:r>
        <w:separator/>
      </w:r>
    </w:p>
  </w:endnote>
  <w:endnote w:type="continuationSeparator" w:id="0">
    <w:p w14:paraId="3B53711B" w14:textId="77777777" w:rsidR="0070090C" w:rsidRDefault="0070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78980D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</w:t>
    </w:r>
    <w:r w:rsidR="002F0898" w:rsidRPr="00D94B93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 w:rsidRPr="00D94B93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756775E4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260CBC">
      <w:rPr>
        <w:noProof/>
        <w:sz w:val="12"/>
        <w:lang w:val="hr-HR"/>
      </w:rPr>
      <w:t>27.10.2025.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260CBC">
      <w:rPr>
        <w:noProof/>
        <w:sz w:val="12"/>
      </w:rPr>
      <w:t>1:16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F80A" w14:textId="77777777" w:rsidR="0070090C" w:rsidRDefault="0070090C">
      <w:r>
        <w:separator/>
      </w:r>
    </w:p>
  </w:footnote>
  <w:footnote w:type="continuationSeparator" w:id="0">
    <w:p w14:paraId="7D12CFE3" w14:textId="77777777" w:rsidR="0070090C" w:rsidRDefault="0070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0518F"/>
    <w:multiLevelType w:val="hybridMultilevel"/>
    <w:tmpl w:val="311EA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4"/>
  </w:num>
  <w:num w:numId="5">
    <w:abstractNumId w:val="16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43E"/>
    <w:rsid w:val="000046C9"/>
    <w:rsid w:val="000067B0"/>
    <w:rsid w:val="00011CB2"/>
    <w:rsid w:val="00032AD4"/>
    <w:rsid w:val="00041D4B"/>
    <w:rsid w:val="00047497"/>
    <w:rsid w:val="000624F3"/>
    <w:rsid w:val="000829A7"/>
    <w:rsid w:val="00092B87"/>
    <w:rsid w:val="000A0165"/>
    <w:rsid w:val="000A2EF8"/>
    <w:rsid w:val="000A3199"/>
    <w:rsid w:val="000A38D9"/>
    <w:rsid w:val="000A51F2"/>
    <w:rsid w:val="000B2139"/>
    <w:rsid w:val="000B51AC"/>
    <w:rsid w:val="000B5E96"/>
    <w:rsid w:val="000C27FA"/>
    <w:rsid w:val="000D20CB"/>
    <w:rsid w:val="000D2762"/>
    <w:rsid w:val="000F425B"/>
    <w:rsid w:val="0011006B"/>
    <w:rsid w:val="0011124A"/>
    <w:rsid w:val="0012519C"/>
    <w:rsid w:val="00131CBC"/>
    <w:rsid w:val="00132053"/>
    <w:rsid w:val="00137215"/>
    <w:rsid w:val="00141FC6"/>
    <w:rsid w:val="00154818"/>
    <w:rsid w:val="001644AD"/>
    <w:rsid w:val="00164A23"/>
    <w:rsid w:val="00166456"/>
    <w:rsid w:val="00166498"/>
    <w:rsid w:val="0016776A"/>
    <w:rsid w:val="00174399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B2773"/>
    <w:rsid w:val="001B714F"/>
    <w:rsid w:val="001C430A"/>
    <w:rsid w:val="001D6E96"/>
    <w:rsid w:val="001E488F"/>
    <w:rsid w:val="001E67ED"/>
    <w:rsid w:val="002011A7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60CBC"/>
    <w:rsid w:val="00263649"/>
    <w:rsid w:val="002710F3"/>
    <w:rsid w:val="00275E5F"/>
    <w:rsid w:val="00281142"/>
    <w:rsid w:val="00283357"/>
    <w:rsid w:val="002A43AA"/>
    <w:rsid w:val="002A7ED7"/>
    <w:rsid w:val="002B2977"/>
    <w:rsid w:val="002B558E"/>
    <w:rsid w:val="002B7BE9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428AF"/>
    <w:rsid w:val="00343047"/>
    <w:rsid w:val="00350F44"/>
    <w:rsid w:val="00353AA2"/>
    <w:rsid w:val="00355048"/>
    <w:rsid w:val="00362E23"/>
    <w:rsid w:val="00376626"/>
    <w:rsid w:val="00380CAC"/>
    <w:rsid w:val="00386C08"/>
    <w:rsid w:val="003913EA"/>
    <w:rsid w:val="00395E37"/>
    <w:rsid w:val="003B0CE6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662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86104"/>
    <w:rsid w:val="004903DB"/>
    <w:rsid w:val="004908EE"/>
    <w:rsid w:val="00493BB1"/>
    <w:rsid w:val="004A708D"/>
    <w:rsid w:val="004D531B"/>
    <w:rsid w:val="004F1AC4"/>
    <w:rsid w:val="004F24AD"/>
    <w:rsid w:val="005007B7"/>
    <w:rsid w:val="00501347"/>
    <w:rsid w:val="005044B8"/>
    <w:rsid w:val="00506FD1"/>
    <w:rsid w:val="00511321"/>
    <w:rsid w:val="0051509E"/>
    <w:rsid w:val="005178B4"/>
    <w:rsid w:val="00523B76"/>
    <w:rsid w:val="00525298"/>
    <w:rsid w:val="00535CFE"/>
    <w:rsid w:val="00540585"/>
    <w:rsid w:val="00553563"/>
    <w:rsid w:val="00557DD9"/>
    <w:rsid w:val="00565789"/>
    <w:rsid w:val="00566F42"/>
    <w:rsid w:val="00577564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4584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22B6"/>
    <w:rsid w:val="006B31AB"/>
    <w:rsid w:val="006B3395"/>
    <w:rsid w:val="006B6184"/>
    <w:rsid w:val="006C68C9"/>
    <w:rsid w:val="006D5959"/>
    <w:rsid w:val="006E0F3F"/>
    <w:rsid w:val="006F1069"/>
    <w:rsid w:val="0070090C"/>
    <w:rsid w:val="0071139E"/>
    <w:rsid w:val="00715FC5"/>
    <w:rsid w:val="007239AB"/>
    <w:rsid w:val="00723E01"/>
    <w:rsid w:val="007255B2"/>
    <w:rsid w:val="007264C5"/>
    <w:rsid w:val="00743D5F"/>
    <w:rsid w:val="00744787"/>
    <w:rsid w:val="00747CD4"/>
    <w:rsid w:val="00766341"/>
    <w:rsid w:val="00771728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43D2"/>
    <w:rsid w:val="0088777F"/>
    <w:rsid w:val="0089003E"/>
    <w:rsid w:val="00895FEB"/>
    <w:rsid w:val="008B0CC4"/>
    <w:rsid w:val="008B3F74"/>
    <w:rsid w:val="008C28EF"/>
    <w:rsid w:val="008D0BF3"/>
    <w:rsid w:val="008D3A2D"/>
    <w:rsid w:val="008D6260"/>
    <w:rsid w:val="008E7F5A"/>
    <w:rsid w:val="00914CB3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1115"/>
    <w:rsid w:val="009A741C"/>
    <w:rsid w:val="009A7B39"/>
    <w:rsid w:val="009C24EC"/>
    <w:rsid w:val="009C2C15"/>
    <w:rsid w:val="009C5C67"/>
    <w:rsid w:val="009D4378"/>
    <w:rsid w:val="009D5F5E"/>
    <w:rsid w:val="009E00BC"/>
    <w:rsid w:val="009E06C2"/>
    <w:rsid w:val="009E3C1F"/>
    <w:rsid w:val="009E5013"/>
    <w:rsid w:val="009F5D4B"/>
    <w:rsid w:val="00A27E67"/>
    <w:rsid w:val="00A34072"/>
    <w:rsid w:val="00A40CFA"/>
    <w:rsid w:val="00A41300"/>
    <w:rsid w:val="00A42F96"/>
    <w:rsid w:val="00A53E9B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BF160C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12A4"/>
    <w:rsid w:val="00CE6758"/>
    <w:rsid w:val="00CF1B7E"/>
    <w:rsid w:val="00CF7DA5"/>
    <w:rsid w:val="00D00346"/>
    <w:rsid w:val="00D148DC"/>
    <w:rsid w:val="00D14BC4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0EF2"/>
    <w:rsid w:val="00D9200E"/>
    <w:rsid w:val="00D94B93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B4E"/>
    <w:rsid w:val="00F04CA0"/>
    <w:rsid w:val="00F2195E"/>
    <w:rsid w:val="00F33E02"/>
    <w:rsid w:val="00F40FE5"/>
    <w:rsid w:val="00F470D8"/>
    <w:rsid w:val="00F55C03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9748E"/>
    <w:rsid w:val="00FB1C3F"/>
    <w:rsid w:val="00FC5129"/>
    <w:rsid w:val="00FD676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Marko Ožura</cp:lastModifiedBy>
  <cp:revision>2</cp:revision>
  <cp:lastPrinted>2023-05-22T17:27:00Z</cp:lastPrinted>
  <dcterms:created xsi:type="dcterms:W3CDTF">2025-10-27T12:36:00Z</dcterms:created>
  <dcterms:modified xsi:type="dcterms:W3CDTF">2025-10-27T12:36:00Z</dcterms:modified>
</cp:coreProperties>
</file>