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1A0CA8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Studentska praksa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1A0CA8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A0CA8">
              <w:rPr>
                <w:rFonts w:ascii="Cambria" w:hAnsi="Cambria" w:cs="Calibri"/>
                <w:sz w:val="20"/>
                <w:lang w:val="hr-HR"/>
              </w:rPr>
              <w:t>40229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1E488F" w:rsidRDefault="002E2D7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Prehrambena tehnologija</w:t>
            </w:r>
          </w:p>
        </w:tc>
      </w:tr>
      <w:tr w:rsidR="002E2D7A" w:rsidRPr="001E488F" w:rsidTr="00A730D5">
        <w:tc>
          <w:tcPr>
            <w:tcW w:w="3931" w:type="dxa"/>
            <w:shd w:val="clear" w:color="auto" w:fill="auto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2E2D7A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  <w:p w:rsidR="002E2D7A" w:rsidRPr="00B054B7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2E2D7A" w:rsidRPr="00535CFE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2E2D7A" w:rsidRPr="00B80E68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2E2D7A" w:rsidRPr="00B80E68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VI</w:t>
            </w: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2E2D7A" w:rsidRPr="008B0CC4" w:rsidRDefault="004A5B83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2E2D7A">
              <w:rPr>
                <w:rFonts w:ascii="Cambria" w:hAnsi="Cambria" w:cs="Calibri"/>
                <w:sz w:val="20"/>
              </w:rPr>
              <w:t>.</w:t>
            </w: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2E2D7A" w:rsidRPr="008B0CC4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2E2D7A" w:rsidRPr="008B0CC4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</w:p>
        </w:tc>
      </w:tr>
      <w:tr w:rsidR="002E2D7A" w:rsidRPr="001E488F" w:rsidTr="00B3767F">
        <w:tc>
          <w:tcPr>
            <w:tcW w:w="3931" w:type="dxa"/>
          </w:tcPr>
          <w:p w:rsidR="002E2D7A" w:rsidRPr="001E488F" w:rsidRDefault="002E2D7A" w:rsidP="002E2D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2E2D7A" w:rsidRPr="004F24AD" w:rsidRDefault="002E2D7A" w:rsidP="002E2D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B781A">
              <w:rPr>
                <w:rFonts w:ascii="Cambria" w:hAnsi="Cambria" w:cs="Calibri"/>
                <w:sz w:val="20"/>
                <w:lang w:val="hr-HR"/>
              </w:rPr>
              <w:t>Osigurati studentima usavršavanje i primjenu praktičnih znanja i vještina u prehrambenoj industriji s naglaskom na tehnologiju prerade mlijeka i piva, ali i ostalim vrstama p</w:t>
            </w:r>
            <w:r w:rsidR="004F50E7">
              <w:rPr>
                <w:rFonts w:ascii="Cambria" w:hAnsi="Cambria" w:cs="Calibri"/>
                <w:sz w:val="20"/>
                <w:lang w:val="hr-HR"/>
              </w:rPr>
              <w:t>oslova povezanim sa stečenim zn</w:t>
            </w:r>
            <w:r w:rsidRPr="00FB781A">
              <w:rPr>
                <w:rFonts w:ascii="Cambria" w:hAnsi="Cambria" w:cs="Calibri"/>
                <w:sz w:val="20"/>
                <w:lang w:val="hr-HR"/>
              </w:rPr>
              <w:t>anjima tijekom studija.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430024" w:rsidRPr="001E488F" w:rsidTr="0067056A">
        <w:trPr>
          <w:trHeight w:val="90"/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40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225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100%</w:t>
            </w: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430024" w:rsidRPr="00AA5101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430024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430024" w:rsidRPr="001E488F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430024" w:rsidRPr="00B80E68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40</w:t>
            </w:r>
          </w:p>
        </w:tc>
        <w:tc>
          <w:tcPr>
            <w:tcW w:w="2271" w:type="dxa"/>
            <w:shd w:val="clear" w:color="auto" w:fill="D9D9D9"/>
          </w:tcPr>
          <w:p w:rsidR="00430024" w:rsidRPr="00B80E68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225</w:t>
            </w:r>
          </w:p>
        </w:tc>
        <w:tc>
          <w:tcPr>
            <w:tcW w:w="2271" w:type="dxa"/>
            <w:shd w:val="clear" w:color="auto" w:fill="D9D9D9"/>
          </w:tcPr>
          <w:p w:rsidR="00430024" w:rsidRPr="00B80E68" w:rsidRDefault="00430024" w:rsidP="004300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EE1099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pravila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sigurnog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rada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laboratoriju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izvođenju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laboratorijskih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postupaka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samostalno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uz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vodstvo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mentora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standardne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fizikalno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kemijske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mikrobiološke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senzorske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analize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rezultate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EE1099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pravila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rada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</w:t>
            </w:r>
            <w:r>
              <w:rPr>
                <w:rFonts w:ascii="Cambria" w:hAnsi="Cambria" w:cs="Calibri"/>
                <w:sz w:val="20"/>
              </w:rPr>
              <w:t>iguran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način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pogonu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poznati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potrebne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tehnološke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operacije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strojeve,izračunati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materijalnu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bilancu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pratiti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do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gotovog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EE1099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rizike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tijekom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prerade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rukovanja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FB781A">
              <w:rPr>
                <w:rFonts w:ascii="Cambria" w:hAnsi="Cambria" w:cs="Calibri"/>
                <w:sz w:val="20"/>
              </w:rPr>
              <w:t xml:space="preserve">s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hranom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pravilan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sanitacijski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plan u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objektima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EE1099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izvještaj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>
              <w:rPr>
                <w:rFonts w:ascii="Cambria" w:hAnsi="Cambria" w:cs="Calibri"/>
                <w:sz w:val="20"/>
              </w:rPr>
              <w:t>realizaciji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poslovnih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aktivnosti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4F24AD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Steći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iskustvo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rad</w:t>
            </w:r>
            <w:r>
              <w:rPr>
                <w:rFonts w:ascii="Cambria" w:hAnsi="Cambria" w:cs="Calibri"/>
                <w:sz w:val="20"/>
              </w:rPr>
              <w:t>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timu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sustavnom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pristupu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rješavanju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problema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upravljanj</w:t>
            </w:r>
            <w:r>
              <w:rPr>
                <w:rFonts w:ascii="Cambria" w:hAnsi="Cambria" w:cs="Calibri"/>
                <w:sz w:val="20"/>
              </w:rPr>
              <w:t>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vremenom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1FE7" w:rsidRPr="004F24AD" w:rsidRDefault="00CD1FE7" w:rsidP="00CD1F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Aktivno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PC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računalo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alat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obavljanju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dnevnih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poslova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obradi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B781A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FB781A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1FE7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D1FE7" w:rsidRPr="00550762" w:rsidRDefault="00CD1FE7" w:rsidP="00CD1FE7">
            <w:pPr>
              <w:rPr>
                <w:rFonts w:ascii="Cambria" w:hAnsi="Cambria"/>
                <w:b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CD1FE7" w:rsidRPr="00E4597E" w:rsidRDefault="00CD1FE7" w:rsidP="00CD1FE7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Dnevnik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stručne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prakse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CD1FE7" w:rsidRPr="00E15B53" w:rsidRDefault="00CD1FE7" w:rsidP="00CD1FE7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CD1FE7" w:rsidRPr="00E15B53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D1FE7" w:rsidRPr="001E488F" w:rsidTr="009B6254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D1FE7" w:rsidRPr="001E488F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D1FE7" w:rsidRPr="004F24AD" w:rsidRDefault="00CD1FE7" w:rsidP="00CD1F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FB781A">
              <w:rPr>
                <w:rFonts w:ascii="Cambria" w:hAnsi="Cambria" w:cs="Calibri"/>
                <w:sz w:val="20"/>
                <w:lang w:val="hr-HR"/>
              </w:rPr>
              <w:t xml:space="preserve">Završetkom studenske prakse student </w:t>
            </w:r>
            <w:proofErr w:type="spellStart"/>
            <w:r w:rsidRPr="00FB781A">
              <w:rPr>
                <w:rFonts w:ascii="Cambria" w:hAnsi="Cambria" w:cs="Calibri"/>
                <w:sz w:val="20"/>
                <w:lang w:val="hr-HR"/>
              </w:rPr>
              <w:t>stjeće</w:t>
            </w:r>
            <w:proofErr w:type="spellEnd"/>
            <w:r w:rsidRPr="00FB781A">
              <w:rPr>
                <w:rFonts w:ascii="Cambria" w:hAnsi="Cambria" w:cs="Calibri"/>
                <w:sz w:val="20"/>
                <w:lang w:val="hr-HR"/>
              </w:rPr>
              <w:t xml:space="preserve"> praktično iskustvo te dodatno unapređuje opće i stručne kompetencije potrebne za obavljanje poslova u području prehrambene tehnologije. Osim toga uči se snalaziti unutar poslovnog okruženja te formalnih i neformalnih  poslovnih procesa. Realizirano </w:t>
            </w:r>
            <w:proofErr w:type="spellStart"/>
            <w:r w:rsidRPr="00FB781A">
              <w:rPr>
                <w:rFonts w:ascii="Cambria" w:hAnsi="Cambria" w:cs="Calibri"/>
                <w:sz w:val="20"/>
                <w:lang w:val="hr-HR"/>
              </w:rPr>
              <w:t>radon</w:t>
            </w:r>
            <w:proofErr w:type="spellEnd"/>
            <w:r w:rsidRPr="00FB781A">
              <w:rPr>
                <w:rFonts w:ascii="Cambria" w:hAnsi="Cambria" w:cs="Calibri"/>
                <w:sz w:val="20"/>
                <w:lang w:val="hr-HR"/>
              </w:rPr>
              <w:t xml:space="preserve"> iskustvo omogućava studentima kvalitetnije i brže uključivanje u radni proces nakon zasnivanja radnog odnosa..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D1FE7" w:rsidRPr="001E488F" w:rsidTr="00403AC1">
        <w:trPr>
          <w:trHeight w:val="240"/>
        </w:trPr>
        <w:tc>
          <w:tcPr>
            <w:tcW w:w="2399" w:type="dxa"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D1FE7" w:rsidRPr="00ED2C27" w:rsidRDefault="00CD1FE7" w:rsidP="00CD1F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B781A">
              <w:rPr>
                <w:rFonts w:ascii="Cambria" w:hAnsi="Cambria" w:cs="Calibri"/>
                <w:sz w:val="20"/>
                <w:lang w:val="hr-HR"/>
              </w:rPr>
              <w:t>Odrađena studentska praksa, ovjerena uputnica, ispunjena i ovjerena anketa poslodavca, ispravno napisan dnevnik stručne prakse.</w:t>
            </w:r>
          </w:p>
        </w:tc>
      </w:tr>
      <w:tr w:rsidR="00CD1FE7" w:rsidRPr="001E488F" w:rsidTr="00403AC1">
        <w:tc>
          <w:tcPr>
            <w:tcW w:w="2399" w:type="dxa"/>
            <w:shd w:val="clear" w:color="auto" w:fill="D9D9D9"/>
          </w:tcPr>
          <w:p w:rsidR="00CD1FE7" w:rsidRPr="001E488F" w:rsidRDefault="00CD1FE7" w:rsidP="00CD1F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CD1FE7" w:rsidRPr="008B0CC4" w:rsidRDefault="00CD1FE7" w:rsidP="00CD1F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Dobiven potpis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CD1FE7" w:rsidRPr="007A27CB" w:rsidTr="00731A9B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D1FE7" w:rsidRPr="008D5433" w:rsidRDefault="00CD1FE7" w:rsidP="00CD1FE7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16,0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CD1FE7" w:rsidRPr="007A27CB" w:rsidTr="00AF77E4">
        <w:trPr>
          <w:cantSplit/>
          <w:trHeight w:val="284"/>
        </w:trPr>
        <w:tc>
          <w:tcPr>
            <w:tcW w:w="1567" w:type="dxa"/>
          </w:tcPr>
          <w:p w:rsidR="00CD1FE7" w:rsidRPr="008B0CC4" w:rsidRDefault="00CD1FE7" w:rsidP="00CD1FE7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</w:tcPr>
          <w:p w:rsidR="00CD1FE7" w:rsidRPr="008B0CC4" w:rsidRDefault="00CD1FE7" w:rsidP="00CD1FE7">
            <w:pPr>
              <w:spacing w:before="40"/>
              <w:jc w:val="both"/>
              <w:rPr>
                <w:rFonts w:ascii="Cambria" w:hAnsi="Cambria" w:cs="Arial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</w:tcPr>
          <w:p w:rsidR="00CD1FE7" w:rsidRPr="008B0CC4" w:rsidRDefault="00CD1FE7" w:rsidP="00CD1FE7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  <w:tc>
          <w:tcPr>
            <w:tcW w:w="1365" w:type="dxa"/>
          </w:tcPr>
          <w:p w:rsidR="00CD1FE7" w:rsidRPr="008B0CC4" w:rsidRDefault="00CD1FE7" w:rsidP="00CD1FE7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</w:tcPr>
          <w:p w:rsidR="00CD1FE7" w:rsidRPr="008B0CC4" w:rsidRDefault="00CD1FE7" w:rsidP="00CD1FE7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23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14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17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22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9.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54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58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trHeight w:val="261"/>
        </w:trPr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8C67BC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8C67BC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CD1FE7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1FE7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1813A0" w:rsidRPr="001E488F" w:rsidTr="00FC2180">
        <w:trPr>
          <w:jc w:val="center"/>
        </w:trPr>
        <w:tc>
          <w:tcPr>
            <w:tcW w:w="4050" w:type="dxa"/>
            <w:shd w:val="clear" w:color="auto" w:fill="D9D9D9"/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1813A0" w:rsidRPr="00B80E68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1813A0" w:rsidRPr="001E488F" w:rsidTr="007633DC">
        <w:trPr>
          <w:jc w:val="center"/>
        </w:trPr>
        <w:tc>
          <w:tcPr>
            <w:tcW w:w="4050" w:type="dxa"/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1813A0" w:rsidRPr="00B80E68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mblazic@vuka.hr</w:t>
            </w:r>
          </w:p>
        </w:tc>
      </w:tr>
      <w:tr w:rsidR="001813A0" w:rsidRPr="001E488F" w:rsidTr="000D20CB">
        <w:trPr>
          <w:jc w:val="center"/>
        </w:trPr>
        <w:tc>
          <w:tcPr>
            <w:tcW w:w="4050" w:type="dxa"/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1813A0" w:rsidRPr="001E488F" w:rsidRDefault="00AB229A" w:rsidP="00AB229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229A">
              <w:rPr>
                <w:rFonts w:ascii="Cambria" w:hAnsi="Cambria" w:cs="Calibri"/>
                <w:sz w:val="20"/>
                <w:lang w:val="hr-HR"/>
              </w:rPr>
              <w:t>Ponedjeljak, od 12:00 sati (uz prethodnu najavu na e-mail nastavnika)</w:t>
            </w:r>
            <w:r>
              <w:rPr>
                <w:rFonts w:ascii="Cambria" w:hAnsi="Cambria" w:cs="Calibri"/>
                <w:sz w:val="20"/>
                <w:lang w:val="hr-HR"/>
              </w:rPr>
              <w:t>;</w:t>
            </w:r>
            <w:r w:rsidRPr="00AB229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Trg J. J. Strossmayera 9, </w:t>
            </w:r>
            <w:r w:rsidRPr="00AB229A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  <w:tr w:rsidR="001813A0" w:rsidRPr="001E488F" w:rsidTr="009212C2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</w:tcPr>
          <w:p w:rsidR="001813A0" w:rsidRPr="00B80E68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1813A0" w:rsidRPr="001E488F" w:rsidTr="002B622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1813A0" w:rsidRPr="00B80E68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1813A0" w:rsidRPr="001E488F" w:rsidTr="0087060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0" w:rsidRPr="001E488F" w:rsidRDefault="001813A0" w:rsidP="001813A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1813A0" w:rsidRPr="009E3C1F" w:rsidRDefault="001813A0" w:rsidP="001813A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Utorak, 9:00 – 10:00, Trg J. J. Strossmayera 9, kabinet 115/1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A8" w:rsidRDefault="001A0CA8">
      <w:r>
        <w:separator/>
      </w:r>
    </w:p>
  </w:endnote>
  <w:endnote w:type="continuationSeparator" w:id="0">
    <w:p w:rsidR="001A0CA8" w:rsidRDefault="001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8" w:rsidRPr="00B804ED" w:rsidRDefault="001A0CA8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8" w:rsidRPr="00B966F0" w:rsidRDefault="001A0CA8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C67BC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C67BC">
      <w:rPr>
        <w:noProof/>
        <w:sz w:val="12"/>
      </w:rPr>
      <w:t>10:30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A8" w:rsidRDefault="001A0CA8">
      <w:r>
        <w:separator/>
      </w:r>
    </w:p>
  </w:footnote>
  <w:footnote w:type="continuationSeparator" w:id="0">
    <w:p w:rsidR="001A0CA8" w:rsidRDefault="001A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8" w:rsidRDefault="001A0C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1A0CA8" w:rsidRDefault="001A0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8" w:rsidRDefault="001A0CA8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1A0CA8" w:rsidTr="008429B6">
      <w:trPr>
        <w:cantSplit/>
        <w:trHeight w:hRule="exact" w:val="1134"/>
      </w:trPr>
      <w:tc>
        <w:tcPr>
          <w:tcW w:w="9747" w:type="dxa"/>
        </w:tcPr>
        <w:p w:rsidR="001A0CA8" w:rsidRDefault="001A0CA8">
          <w:pPr>
            <w:rPr>
              <w:b/>
              <w:sz w:val="28"/>
            </w:rPr>
          </w:pPr>
        </w:p>
        <w:p w:rsidR="001A0CA8" w:rsidRDefault="001A0CA8">
          <w:pPr>
            <w:pStyle w:val="Heading4"/>
          </w:pPr>
        </w:p>
      </w:tc>
    </w:tr>
    <w:tr w:rsidR="001A0CA8" w:rsidTr="002F0898">
      <w:trPr>
        <w:cantSplit/>
        <w:trHeight w:hRule="exact" w:val="567"/>
      </w:trPr>
      <w:tc>
        <w:tcPr>
          <w:tcW w:w="9747" w:type="dxa"/>
        </w:tcPr>
        <w:p w:rsidR="001A0CA8" w:rsidRDefault="001A0CA8">
          <w:pPr>
            <w:pStyle w:val="Heading1"/>
            <w:rPr>
              <w:color w:val="808080"/>
              <w:sz w:val="16"/>
            </w:rPr>
          </w:pPr>
        </w:p>
        <w:p w:rsidR="001A0CA8" w:rsidRDefault="001A0CA8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1A0CA8" w:rsidRPr="001810C2" w:rsidRDefault="001A0CA8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1A0CA8" w:rsidRDefault="001A0CA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13A0"/>
    <w:rsid w:val="001848B1"/>
    <w:rsid w:val="0018500D"/>
    <w:rsid w:val="00186003"/>
    <w:rsid w:val="00194681"/>
    <w:rsid w:val="00196C99"/>
    <w:rsid w:val="001A0A8D"/>
    <w:rsid w:val="001A0CA8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2D7A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0024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5B83"/>
    <w:rsid w:val="004D531B"/>
    <w:rsid w:val="004F24AD"/>
    <w:rsid w:val="004F50E7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C67BC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B229A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D1FE7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62F3B0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E09D-2776-42C3-8B48-4E5954BC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637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22</cp:revision>
  <cp:lastPrinted>2021-09-07T10:26:00Z</cp:lastPrinted>
  <dcterms:created xsi:type="dcterms:W3CDTF">2021-09-07T06:52:00Z</dcterms:created>
  <dcterms:modified xsi:type="dcterms:W3CDTF">2022-09-26T08:30:00Z</dcterms:modified>
</cp:coreProperties>
</file>