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Opći podaci o kolegiju</w:t>
      </w:r>
    </w:p>
    <w:tbl>
      <w:tblPr>
        <w:tblW w:w="9781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0"/>
        <w:gridCol w:w="5850"/>
      </w:tblGrid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Pravni propisi, postupanja i nadležnosti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261893 izvanredni studij/261892 redovni studij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dr.sc. Tomislav Dumić, prof. struč. stud, dr. sc. Zrinka Mesić, v. pred..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Stručni prijediplomski studij Lovstvo i zaštita prirode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4.0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III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-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 kolegija je upoznati studente s pravnim propisima iz područja lovstva i zaštite prirode te načinom njihove primjene.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Ustrojstvo nastave</w:t>
      </w:r>
    </w:p>
    <w:tbl>
      <w:tblPr>
        <w:tblW w:w="9781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418"/>
        <w:gridCol w:w="4394"/>
      </w:tblGrid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left="31" w:hanging="31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Broj sati semestralno: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>
        <w:trPr>
          <w:trHeight w:val="9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rada studenata i provjere znanja tijekom nastavnog procesa</w:t>
      </w:r>
    </w:p>
    <w:tbl>
      <w:tblPr>
        <w:tblStyle w:val="TableGrid"/>
        <w:tblW w:w="9435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"/>
        <w:gridCol w:w="2693"/>
        <w:gridCol w:w="1530"/>
        <w:gridCol w:w="1095"/>
        <w:gridCol w:w="1065"/>
        <w:gridCol w:w="2160"/>
      </w:tblGrid>
      <w:tr>
        <w:trPr/>
        <w:tc>
          <w:tcPr>
            <w:tcW w:w="3585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530" w:type="dxa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Kolokvij</w:t>
            </w:r>
          </w:p>
        </w:tc>
        <w:tc>
          <w:tcPr>
            <w:tcW w:w="1095" w:type="dxa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1065" w:type="dxa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Prolaz</w:t>
            </w:r>
          </w:p>
        </w:tc>
        <w:tc>
          <w:tcPr>
            <w:tcW w:w="2160" w:type="dxa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Vremenski okvir priznavanja ishoda</w:t>
            </w:r>
          </w:p>
        </w:tc>
      </w:tr>
      <w:tr>
        <w:trPr/>
        <w:tc>
          <w:tcPr>
            <w:tcW w:w="892" w:type="dxa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it-IT"/>
              </w:rPr>
              <w:t>Navesti zakonodavni okvir RH i EU</w:t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highlight w:val="yellow"/>
                <w:lang w:val="hr-HR"/>
              </w:rPr>
            </w:r>
          </w:p>
        </w:tc>
      </w:tr>
      <w:tr>
        <w:trPr/>
        <w:tc>
          <w:tcPr>
            <w:tcW w:w="892" w:type="dxa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it-IT"/>
              </w:rPr>
              <w:t>Identificirati zakonodavni okvir koji se primjenjuje u lovstvu</w:t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92" w:type="dxa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it-IT"/>
              </w:rPr>
              <w:t>Identificirati zakonodavni okvir koji se primjenjuje u zaštiti prirode</w:t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92" w:type="dxa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hr-HR"/>
              </w:rPr>
              <w:t>Objasniti način provođenja nadziranih operacija provedbe zakona i prikupljanja dokaza</w:t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92" w:type="dxa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it-IT"/>
              </w:rPr>
              <w:t>Primjeniti procedure za osnovno evidentiranje i izvještavanje o aktivnostima provedbe zakona</w:t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  <w:tc>
          <w:tcPr>
            <w:tcW w:w="21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3585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80</w:t>
            </w:r>
          </w:p>
        </w:tc>
        <w:tc>
          <w:tcPr>
            <w:tcW w:w="10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80</w:t>
            </w:r>
          </w:p>
        </w:tc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585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  <w:tc>
          <w:tcPr>
            <w:tcW w:w="10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1842"/>
        <w:gridCol w:w="1615"/>
        <w:gridCol w:w="1"/>
        <w:gridCol w:w="1347"/>
        <w:gridCol w:w="1440"/>
        <w:gridCol w:w="1170"/>
        <w:gridCol w:w="1163"/>
      </w:tblGrid>
      <w:tr>
        <w:trPr/>
        <w:tc>
          <w:tcPr>
            <w:tcW w:w="2692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6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347" w:type="dxa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440" w:type="dxa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usmeni ispit</w:t>
            </w:r>
          </w:p>
        </w:tc>
        <w:tc>
          <w:tcPr>
            <w:tcW w:w="1170" w:type="dxa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1163" w:type="dxa"/>
            <w:tcBorders/>
            <w:shd w:color="auto" w:fill="auto" w:val="pct12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Prolaz 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it-IT"/>
              </w:rPr>
              <w:t>Navesti zakonodavni okvir RH i EU</w:t>
            </w:r>
          </w:p>
        </w:tc>
        <w:tc>
          <w:tcPr>
            <w:tcW w:w="134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it-IT"/>
              </w:rPr>
              <w:t>Identificirati zakonodavni okvir koji se primjenjuje u lovstvu</w:t>
            </w:r>
          </w:p>
        </w:tc>
        <w:tc>
          <w:tcPr>
            <w:tcW w:w="134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it-IT"/>
              </w:rPr>
              <w:t>Identificirati zakonodavni okvir koji se primjenjuje u zaštiti prirode</w:t>
            </w:r>
          </w:p>
        </w:tc>
        <w:tc>
          <w:tcPr>
            <w:tcW w:w="134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hr-HR"/>
              </w:rPr>
              <w:t>Objasniti način provođenja nadziranih operacija provedbe zakona i prikupljanja dokaza</w:t>
            </w:r>
          </w:p>
        </w:tc>
        <w:tc>
          <w:tcPr>
            <w:tcW w:w="134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it-IT"/>
              </w:rPr>
              <w:t>Primjeniti procedure za osnovno evidentiranje i izvještavanje o aktivnostima provedbe zakona</w:t>
            </w:r>
          </w:p>
        </w:tc>
        <w:tc>
          <w:tcPr>
            <w:tcW w:w="134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34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12</w:t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34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</w:t>
            </w:r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0"/>
        <w:gridCol w:w="3657"/>
        <w:gridCol w:w="821"/>
        <w:gridCol w:w="3431"/>
        <w:gridCol w:w="851"/>
      </w:tblGrid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Uvod. Važnost poznavanja zakona. Temeljni pojmovi o zakonima i podzakonskim aktima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Zakonodavni i institucionalni okvir EU/RH u zaštiti prirode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 xml:space="preserve">Ustav Republike Hrvatske. Odredbe Ustava u svezi zaštite prirode i okoliša; Proces donošenja zakona u Republici Hrvatskoj, uloga građanske inicijative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Pravilnik o načinu rada i postupanja čuvara prirode  - postupanja i nadležnosti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it-IT" w:eastAsia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Odabrane međunarodne konvencije zaštite prirode:</w:t>
            </w:r>
          </w:p>
          <w:p>
            <w:pPr>
              <w:pStyle w:val="Normal"/>
              <w:jc w:val="center"/>
              <w:rPr>
                <w:rFonts w:ascii="Cambria" w:hAnsi="Cambria"/>
                <w:sz w:val="20"/>
                <w:lang w:val="it-IT" w:eastAsia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 xml:space="preserve">Ramsarska, UNESCO Konvencija o zaštiti svjetske kulturne i prirodne baštine, CITES, Bernska, Bonnska, Konvencija o biološkoj raznolikosti, Aarhuska, Konvencija o europskim krajobrazima </w:t>
            </w:r>
          </w:p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Agenda 2030. za održivi razvoj (17 COR-ova)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Pravilnik o lovniku;  - postupanja i nadležnosti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 xml:space="preserve">Zaštita prirode u EU </w:t>
            </w:r>
          </w:p>
          <w:p>
            <w:pPr>
              <w:pStyle w:val="Normal"/>
              <w:jc w:val="center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 xml:space="preserve">Green Deal i Strategija za bioraznolikost do 2030. </w:t>
            </w:r>
          </w:p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Strategija i akcijski plan zaštite prirode RH za 2017. - 2025.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Pravilnik o lovočuvarskoj službi – postupanja i nadležnosti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Zakon o zaštiti okoliša. Zakon o otpadu. Zakon o zaštiti zraka i Zakon o vodama. Zakon o dobrobiti životinja. Zakon o šumama. Zakon o poljoprivrednom zemljištu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Procedure pri operacijama provedbe zakona </w:t>
            </w:r>
          </w:p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(npr. nadzor, terenski obilazak, traganje).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Detaljno razmatranje Zakona o lovstvu. Podzakonski akti – postupanja i nadležnosti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Procedure pri operacijama provedbe zakona </w:t>
            </w:r>
          </w:p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(npr. nadzor, terenski obilazak, traganje). </w:t>
            </w:r>
            <w:r>
              <w:rPr>
                <w:rFonts w:ascii="Cambria" w:hAnsi="Cambria"/>
                <w:sz w:val="20"/>
                <w:lang w:eastAsia="hr-HR"/>
              </w:rPr>
              <w:t>(I4)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</w:tr>
      <w:tr>
        <w:trPr>
          <w:trHeight w:val="21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 xml:space="preserve">Pravilnik o lovočuvarskoj službi – postupanja i nadležnosti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Procedura pri privođenje osumnjičenika ili prekršitelja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</w:tr>
      <w:tr>
        <w:trPr>
          <w:trHeight w:val="2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Pravilnik o stručnoj službi za provedbu lovnogospodarske osnove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Poznavanje zakonitih i prikladnih tehnika za prikupljanje informacija od osumnjičenih i svjedoka. Prikupljanje podataka iz različitih izvora: dokazi prikupljeni na terenu kroz suradnju s drugim institucijama za provođenje zakona, u suradnji s dionicima i javnosti, korištenje dojavitelja. Sređivanje i izvještavanje </w:t>
            </w:r>
          </w:p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 prikupljenim dokazima.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4-5</w:t>
            </w:r>
          </w:p>
        </w:tc>
      </w:tr>
      <w:tr>
        <w:trPr>
          <w:trHeight w:val="22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 xml:space="preserve">Pravilnik o lovniku;  - postupanja i nadležnosti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Poznavanje zakonitih i prikladnih tehnika za prikupljanje informacija od osumnjičenih i svjedoka. Prikupljanje podataka iz različitih izvora: dokazi prikupljeni na terenu kroz suradnju s drugim institucijama za provođenje zakona, u suradnji s dionicima i javnosti, korištenje dojavitelja. Sređivanje i izvještavanje </w:t>
            </w:r>
          </w:p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 prikupljenim dokazima.</w:t>
            </w:r>
            <w:r>
              <w:rPr>
                <w:rFonts w:ascii="Cambria" w:hAnsi="Cambria"/>
                <w:sz w:val="20"/>
                <w:lang w:eastAsia="hr-HR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4-5</w:t>
            </w:r>
          </w:p>
        </w:tc>
      </w:tr>
      <w:tr>
        <w:trPr>
          <w:trHeight w:val="25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10.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it-IT" w:eastAsia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 xml:space="preserve">Detaljno razmatranje Zakona o zaštiti prirode </w:t>
            </w:r>
          </w:p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Podzakonski akti – postupanja i nadležnosti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Sređivanje i izvještavanje </w:t>
            </w:r>
          </w:p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 prikupljenim dokazima.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4-5</w:t>
            </w:r>
          </w:p>
        </w:tc>
      </w:tr>
      <w:tr>
        <w:trPr>
          <w:trHeight w:val="258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Zakonska regulativa iz upravljanja zaštićenim područjem i ekološkom mrežom Natura 2000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Postupci za osiguranje mjesta nedopuštene radnje, kao i za zapljenu, čuvanje i pohranjivanje dokaza. Organiziranje, praćenje i nadgledanje operacija za sprečavanje nedopuštenih radnji koje provodi služba čuvara prirode samostalno ili u suradnji s partnerima.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4-5</w:t>
            </w:r>
          </w:p>
        </w:tc>
      </w:tr>
      <w:tr>
        <w:trPr>
          <w:trHeight w:val="261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Pravilnik o načinu rada i postupanja čuvara prirode  - postupanja i nadležnosti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Podnošenje točnih i vjerodostojnih usmenih svjedočanstava pri formalnim istragama i sudskim procesima. Podnošenje točnih pisanih  izjava i prikaza.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4-5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it-IT" w:eastAsia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 xml:space="preserve">Zakon o održivom gospodarenju otpadom (2019.) </w:t>
            </w:r>
          </w:p>
          <w:p>
            <w:pPr>
              <w:pStyle w:val="Normal"/>
              <w:jc w:val="center"/>
              <w:rPr>
                <w:rFonts w:ascii="Cambria" w:hAnsi="Cambria"/>
                <w:sz w:val="20"/>
                <w:lang w:val="it-IT" w:eastAsia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Regionalni centri za gospodarenje otpadom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Procedure za osnovno  evidentiranje i izvještavanje o aktivnostima provedbe zakona (Podnošenje točnih verbalnih i pisanih izvještaja, sukladno zakonu i  propisanim procedurama. Korištenje digitalne tehnologije u te svrhe ukoliko je potrebno.)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4-5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14.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it-IT" w:eastAsia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 xml:space="preserve">Zakon o vodama (2019.) </w:t>
            </w:r>
          </w:p>
          <w:p>
            <w:pPr>
              <w:pStyle w:val="Normal"/>
              <w:jc w:val="center"/>
              <w:rPr>
                <w:rFonts w:ascii="Cambria" w:hAnsi="Cambria"/>
                <w:sz w:val="20"/>
                <w:lang w:val="it-IT" w:eastAsia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 xml:space="preserve">Hrvatske vode d.o.o. </w:t>
            </w:r>
          </w:p>
          <w:p>
            <w:pPr>
              <w:pStyle w:val="Normal"/>
              <w:jc w:val="center"/>
              <w:rPr>
                <w:rFonts w:ascii="Cambria" w:hAnsi="Cambria"/>
                <w:sz w:val="20"/>
                <w:lang w:val="it-IT" w:eastAsia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Zakon o prostornom uređenju (2020.), Članak 44. Zaštićeno obalno područje mora i Lokacijska dozvola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Provođenje slučajeva kroz sve potrebne faze (formalno izvještavanje događajima, dodatne istrage, prikupljanje novih dokaza, osiguravanje svjedočenja, prezentiranje slučaja, pružanje službenog iskaza)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4-5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 xml:space="preserve">Zakon o šumama (2018.) Hrvatske šume d.o.o. </w:t>
            </w:r>
          </w:p>
          <w:p>
            <w:pPr>
              <w:pStyle w:val="Normal"/>
              <w:jc w:val="center"/>
              <w:rPr>
                <w:rFonts w:ascii="Cambria" w:hAnsi="Cambria"/>
                <w:sz w:val="20"/>
                <w:lang w:val="it-IT" w:eastAsia="hr-HR"/>
              </w:rPr>
            </w:pPr>
            <w:r>
              <w:rPr>
                <w:rFonts w:ascii="Cambria" w:hAnsi="Cambria"/>
                <w:sz w:val="20"/>
                <w:lang w:val="it-IT" w:eastAsia="hr-HR"/>
              </w:rPr>
              <w:t>Zakon o poljoprivrednom zemljištu (2018.)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Suradnja s institucijama nadležnim za provedbu zakona i sudstvom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4-5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Literatura (osnovna / dopunska)</w:t>
      </w:r>
    </w:p>
    <w:tbl>
      <w:tblPr>
        <w:tblW w:w="9640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Zakonski propisi i međunarodne konvencije iz područja lovstva i zaštite prirode (NN)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header="454" w:top="1134" w:footer="454" w:bottom="96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swiss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5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-34290</wp:posOffset>
              </wp:positionV>
              <wp:extent cx="6127115" cy="1270"/>
              <wp:effectExtent l="0" t="0" r="0" b="0"/>
              <wp:wrapNone/>
              <wp:docPr id="2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648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7pt" to="483.45pt,-2.7pt" ID="Line 1" stroked="t" style="position:absolute" wp14:anchorId="0D9D51D0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bCs/>
        <w:iCs/>
        <w:sz w:val="14"/>
        <w:szCs w:val="14"/>
        <w:lang w:val="it-IT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10065" w:type="dxa"/>
      <w:jc w:val="left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Heading1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 w:val="true"/>
      <w:overflowPunct w:val="true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Annotationreference">
    <w:name w:val="annotation reference"/>
    <w:basedOn w:val="DefaultParagraphFont"/>
    <w:qFormat/>
    <w:rsid w:val="00f33e02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f33e02"/>
    <w:rPr>
      <w:rFonts w:ascii="Arial" w:hAnsi="Arial"/>
      <w:lang w:val="en-GB" w:eastAsia="en-US"/>
    </w:rPr>
  </w:style>
  <w:style w:type="character" w:styleId="CommentSubjectChar" w:customStyle="1">
    <w:name w:val="Comment Subject Char"/>
    <w:basedOn w:val="CommentTextChar"/>
    <w:link w:val="CommentSubject"/>
    <w:semiHidden/>
    <w:qFormat/>
    <w:rsid w:val="00f33e02"/>
    <w:rPr>
      <w:rFonts w:ascii="Arial" w:hAnsi="Arial"/>
      <w:b/>
      <w:bCs/>
      <w:lang w:val="en-GB" w:eastAsia="en-US"/>
    </w:rPr>
  </w:style>
  <w:style w:type="character" w:styleId="ListLabel1">
    <w:name w:val="ListLabel 1"/>
    <w:qFormat/>
    <w:rPr>
      <w:rFonts w:cs="Calibri"/>
      <w:sz w:val="24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pPr/>
    <w:rPr>
      <w:b/>
    </w:rPr>
  </w:style>
  <w:style w:type="paragraph" w:styleId="BodyText3">
    <w:name w:val="Body Text 3"/>
    <w:basedOn w:val="Normal"/>
    <w:qFormat/>
    <w:pPr/>
    <w:rPr>
      <w:sz w:val="16"/>
    </w:rPr>
  </w:style>
  <w:style w:type="paragraph" w:styleId="Header1" w:customStyle="1">
    <w:name w:val="Header 1"/>
    <w:basedOn w:val="Title"/>
    <w:qFormat/>
    <w:pPr>
      <w:overflowPunct w:val="true"/>
      <w:spacing w:before="240" w:after="0"/>
      <w:ind w:right="100" w:hanging="0"/>
      <w:jc w:val="left"/>
      <w:textAlignment w:val="baseline"/>
    </w:pPr>
    <w:rPr>
      <w:rFonts w:ascii="Times New Roman" w:hAnsi="Times New Roman"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"/>
      <w:sz w:val="32"/>
    </w:rPr>
  </w:style>
  <w:style w:type="paragraph" w:styleId="Odlomakpopisa1" w:customStyle="1">
    <w:name w:val="Odlomak popisa1"/>
    <w:basedOn w:val="Normal"/>
    <w:qFormat/>
    <w:rsid w:val="00b054b7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val="hr-HR"/>
    </w:rPr>
  </w:style>
  <w:style w:type="paragraph" w:styleId="BalloonText">
    <w:name w:val="Balloon Text"/>
    <w:basedOn w:val="Normal"/>
    <w:link w:val="BalloonTextChar"/>
    <w:qFormat/>
    <w:rsid w:val="0067056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f33e02"/>
    <w:pPr/>
    <w:rPr>
      <w:sz w:val="20"/>
    </w:rPr>
  </w:style>
  <w:style w:type="paragraph" w:styleId="Annotationsubject">
    <w:name w:val="annotation subject"/>
    <w:basedOn w:val="Annotationtext"/>
    <w:link w:val="CommentSubjectChar"/>
    <w:semiHidden/>
    <w:unhideWhenUsed/>
    <w:qFormat/>
    <w:rsid w:val="00f33e02"/>
    <w:pPr/>
    <w:rPr>
      <w:b/>
      <w:bCs/>
    </w:rPr>
  </w:style>
  <w:style w:type="paragraph" w:styleId="ListParagraph">
    <w:name w:val="List Paragraph"/>
    <w:basedOn w:val="Normal"/>
    <w:uiPriority w:val="34"/>
    <w:qFormat/>
    <w:rsid w:val="008d0bf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729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4B42-5D19-4990-96CE-D237B731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LibreOffice/6.0.7.3$Windows_X86_64 LibreOffice_project/dc89aa7a9eabfd848af146d5086077aeed2ae4a5</Application>
  <Pages>4</Pages>
  <Words>912</Words>
  <Characters>5530</Characters>
  <CharactersWithSpaces>6270</CharactersWithSpaces>
  <Paragraphs>205</Paragraphs>
  <Company>Karlovac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2023-09-08T06:27:00Z</dcterms:created>
  <dc:creator>Borislav Josipović</dc:creator>
  <dc:description/>
  <dc:language>hr-HR</dc:language>
  <cp:lastModifiedBy/>
  <cp:lastPrinted>2023-05-22T17:27:00Z</cp:lastPrinted>
  <dcterms:modified xsi:type="dcterms:W3CDTF">2025-10-05T15:33:24Z</dcterms:modified>
  <cp:revision>17</cp:revision>
  <dc:subject/>
  <dc:title>S A D R Ž A 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Karlovac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