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C941B1C" w:rsidR="00B3767F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F5BA4">
              <w:rPr>
                <w:rFonts w:ascii="Cambria" w:hAnsi="Cambria" w:cs="Calibri"/>
                <w:sz w:val="20"/>
                <w:lang w:val="hr-HR"/>
              </w:rPr>
              <w:t>Etologija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419B60D8" w:rsidR="00CD26C5" w:rsidRPr="001E488F" w:rsidRDefault="00A323A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323A5">
              <w:rPr>
                <w:rFonts w:ascii="Cambria" w:hAnsi="Cambria" w:cs="Calibri"/>
                <w:sz w:val="20"/>
                <w:lang w:val="hr-HR"/>
              </w:rPr>
              <w:t>191854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341A8D8" w:rsidR="0088777F" w:rsidRPr="008F5BA4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2060"/>
                <w:sz w:val="20"/>
                <w:lang w:val="hr-HR"/>
              </w:rPr>
            </w:pPr>
            <w:r>
              <w:rPr>
                <w:rFonts w:ascii="Cambria" w:hAnsi="Cambria" w:cs="Calibri"/>
                <w:color w:val="002060"/>
                <w:sz w:val="20"/>
                <w:lang w:val="hr-HR"/>
              </w:rPr>
              <w:t>izv. prof. dr. sc. Zoran Tadić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77777777" w:rsidR="00B23DE0" w:rsidRPr="0088777F" w:rsidRDefault="00B23DE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768E696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 (</w:t>
            </w:r>
            <w:r w:rsidR="00BD4808">
              <w:rPr>
                <w:rFonts w:ascii="Cambria" w:hAnsi="Cambria" w:cs="Calibri"/>
                <w:sz w:val="20"/>
                <w:lang w:val="hr-HR"/>
              </w:rPr>
              <w:t>redovni</w:t>
            </w:r>
            <w:bookmarkStart w:id="0" w:name="_GoBack"/>
            <w:bookmarkEnd w:id="0"/>
            <w:r>
              <w:rPr>
                <w:rFonts w:ascii="Cambria" w:hAnsi="Cambria" w:cs="Calibri"/>
                <w:sz w:val="20"/>
                <w:lang w:val="hr-HR"/>
              </w:rPr>
              <w:t xml:space="preserve"> studij)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3001EA44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6292F212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zimski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57A1BE7B" w:rsidR="00CD26C5" w:rsidRPr="00630907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nema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789B9F6" w:rsidR="00CD26C5" w:rsidRPr="001E488F" w:rsidRDefault="008F5BA4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F5BA4">
              <w:rPr>
                <w:rFonts w:ascii="Cambria" w:hAnsi="Cambria" w:cs="Calibri"/>
                <w:sz w:val="20"/>
                <w:lang w:val="hr-HR"/>
              </w:rPr>
              <w:t>Apsolviranjem programa student stječe uvid u temelje ponašanja životinja, što mu omogućuje bolje razumijevanje složenih odnosa unutar populacija pojedinih životinjskih vrsta, a u cilju što prirodnijeg i svrsishodnijeg uzgoja, zaštite i upravljanja populacijama slobodnoživućih životinjskih vrsta.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5E8FD4D0" w:rsidR="00972927" w:rsidRPr="00205AA7" w:rsidRDefault="00FF2B0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  <w:r w:rsidR="00A323A5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6DC58B66" w14:textId="256F21EF" w:rsidR="00972927" w:rsidRPr="00205AA7" w:rsidRDefault="00FF2B0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sz w:val="20"/>
                <w:lang w:val="hr-HR"/>
              </w:rPr>
              <w:t>Prisustvo na predavanjima</w:t>
            </w: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4265A27A" w:rsidR="00972927" w:rsidRPr="00205AA7" w:rsidRDefault="00FF2B09" w:rsidP="00FF2B0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  <w:r w:rsidR="00CA679F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63"/>
        <w:gridCol w:w="2097"/>
        <w:gridCol w:w="616"/>
        <w:gridCol w:w="616"/>
        <w:gridCol w:w="616"/>
        <w:gridCol w:w="616"/>
        <w:gridCol w:w="616"/>
        <w:gridCol w:w="948"/>
        <w:gridCol w:w="814"/>
        <w:gridCol w:w="1879"/>
      </w:tblGrid>
      <w:tr w:rsidR="002102E2" w:rsidRPr="00205AA7" w14:paraId="001676D0" w14:textId="77777777" w:rsidTr="00FF2B09">
        <w:tc>
          <w:tcPr>
            <w:tcW w:w="306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8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4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879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2102E2" w:rsidRPr="00205AA7" w14:paraId="20F0EDC8" w14:textId="77777777" w:rsidTr="00FF2B09">
        <w:tc>
          <w:tcPr>
            <w:tcW w:w="963" w:type="dxa"/>
            <w:shd w:val="pct10" w:color="auto" w:fill="auto"/>
            <w:vAlign w:val="center"/>
          </w:tcPr>
          <w:p w14:paraId="78D8CA26" w14:textId="6171570F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97" w:type="dxa"/>
          </w:tcPr>
          <w:p w14:paraId="3B6DA506" w14:textId="6B25304D" w:rsidR="002102E2" w:rsidRPr="00C772B4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72B4">
              <w:rPr>
                <w:rFonts w:ascii="Cambria" w:hAnsi="Cambria" w:cs="Calibri"/>
                <w:b/>
                <w:bCs/>
                <w:sz w:val="20"/>
                <w:lang w:val="hr-HR"/>
              </w:rPr>
              <w:t>I 1:</w:t>
            </w:r>
            <w:r w:rsidRPr="00C772B4">
              <w:rPr>
                <w:rFonts w:ascii="Cambria" w:hAnsi="Cambria" w:cs="Calibri"/>
                <w:bCs/>
                <w:sz w:val="20"/>
              </w:rPr>
              <w:t xml:space="preserve"> </w:t>
            </w:r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>Razumjeti različite pristupe ponašanju životinja (klasična etologija, biheviorizam, bihevioralna ekologija, neuroetologija, bihevioralna endokrinologija, bihevioralna biologija) i temmeljne principe modernih istraživanja ponašanja životinja.</w:t>
            </w:r>
          </w:p>
        </w:tc>
        <w:tc>
          <w:tcPr>
            <w:tcW w:w="616" w:type="dxa"/>
            <w:vAlign w:val="center"/>
          </w:tcPr>
          <w:p w14:paraId="2FD003AD" w14:textId="68A5CB1A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29CC4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08F989E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DE956D" w14:textId="3CA50D98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C24880C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EB29036" w14:textId="373D80A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F47E80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491760FF" w14:textId="65FA9E6F" w:rsidR="002102E2" w:rsidRPr="00FD6769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2102E2" w:rsidRPr="00205AA7" w14:paraId="20B53C2F" w14:textId="77777777" w:rsidTr="00FF2B09">
        <w:tc>
          <w:tcPr>
            <w:tcW w:w="963" w:type="dxa"/>
            <w:shd w:val="pct10" w:color="auto" w:fill="auto"/>
            <w:vAlign w:val="center"/>
          </w:tcPr>
          <w:p w14:paraId="55DECEA6" w14:textId="49E650FE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97" w:type="dxa"/>
          </w:tcPr>
          <w:p w14:paraId="2EB372AA" w14:textId="30A65AB4" w:rsidR="002102E2" w:rsidRPr="00C772B4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772B4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I 2: </w:t>
            </w:r>
            <w:r w:rsidRPr="00C772B4">
              <w:rPr>
                <w:rFonts w:ascii="Cambria" w:hAnsi="Cambria" w:cs="Calibri"/>
                <w:bCs/>
                <w:sz w:val="20"/>
                <w:lang w:val="hr-HR"/>
              </w:rPr>
              <w:t>Razlikovati različite načine učenja i kognicije u životinja.</w:t>
            </w:r>
          </w:p>
        </w:tc>
        <w:tc>
          <w:tcPr>
            <w:tcW w:w="616" w:type="dxa"/>
            <w:vAlign w:val="center"/>
          </w:tcPr>
          <w:p w14:paraId="5FAA8A99" w14:textId="7860A55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2C93F6AF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36B6F04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B8EC552" w14:textId="30376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48EF2C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089BFE5D" w14:textId="5549B05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6F00E13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F349E98" w14:textId="649C302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6E14D1E" w14:textId="77777777" w:rsidTr="00FF2B09">
        <w:tc>
          <w:tcPr>
            <w:tcW w:w="963" w:type="dxa"/>
            <w:shd w:val="pct10" w:color="auto" w:fill="auto"/>
            <w:vAlign w:val="center"/>
          </w:tcPr>
          <w:p w14:paraId="63D2A06D" w14:textId="48C10CC3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97" w:type="dxa"/>
          </w:tcPr>
          <w:p w14:paraId="5B0078CE" w14:textId="5140DB38" w:rsidR="002102E2" w:rsidRPr="00205AA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sz w:val="20"/>
                <w:lang w:val="hr-HR"/>
              </w:rPr>
              <w:t>I 3:</w:t>
            </w:r>
            <w:r w:rsidRPr="00FF2B09">
              <w:rPr>
                <w:rFonts w:ascii="Cambria" w:hAnsi="Cambria" w:cs="Calibri"/>
                <w:bCs/>
                <w:sz w:val="20"/>
                <w:lang w:val="hr-HR"/>
              </w:rPr>
              <w:t xml:space="preserve">  Definirati faktore koji potiču migracije i reguliraju navigaciju u životinja.</w:t>
            </w:r>
          </w:p>
        </w:tc>
        <w:tc>
          <w:tcPr>
            <w:tcW w:w="616" w:type="dxa"/>
            <w:vAlign w:val="center"/>
          </w:tcPr>
          <w:p w14:paraId="22616F22" w14:textId="3542B40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EF136A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6CA939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48BCE8F" w14:textId="7134FE4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AE6041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0CFD72" w14:textId="07EEC23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5CEB38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2801638" w14:textId="5258DAC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6AE6E9" w14:textId="77777777" w:rsidTr="00FF2B09">
        <w:tc>
          <w:tcPr>
            <w:tcW w:w="963" w:type="dxa"/>
            <w:shd w:val="pct10" w:color="auto" w:fill="auto"/>
            <w:vAlign w:val="center"/>
          </w:tcPr>
          <w:p w14:paraId="7C584B97" w14:textId="5008AC36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2097" w:type="dxa"/>
          </w:tcPr>
          <w:p w14:paraId="4F8D5DA2" w14:textId="638AA7CB" w:rsidR="002102E2" w:rsidRPr="00205AA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sz w:val="20"/>
                <w:lang w:val="hr-HR"/>
              </w:rPr>
              <w:t>I 4:</w:t>
            </w:r>
            <w:r w:rsidRPr="00FF2B09">
              <w:rPr>
                <w:rFonts w:ascii="Cambria" w:hAnsi="Cambria" w:cs="Calibri"/>
                <w:bCs/>
                <w:sz w:val="20"/>
              </w:rPr>
              <w:t xml:space="preserve"> </w:t>
            </w:r>
            <w:r w:rsidRPr="00FF2B09">
              <w:rPr>
                <w:rFonts w:ascii="Cambria" w:hAnsi="Cambria" w:cs="Calibri"/>
                <w:bCs/>
                <w:sz w:val="20"/>
                <w:lang w:val="hr-HR"/>
              </w:rPr>
              <w:t>Razlikovati i objasniti različite čimbenike koji utječu na načine traženja hrane te objasniti koji čimbenici utječu na modalitete obrane životinja od predatora.</w:t>
            </w:r>
          </w:p>
        </w:tc>
        <w:tc>
          <w:tcPr>
            <w:tcW w:w="616" w:type="dxa"/>
            <w:vAlign w:val="center"/>
          </w:tcPr>
          <w:p w14:paraId="6258DBEF" w14:textId="3C276D0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5FA583D" w14:textId="4B759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017CB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BED18BD" w14:textId="2E77F81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5539F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6FE49AB" w14:textId="4C7ACA4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62F182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DAFEBA" w14:textId="55CA1FB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02A62A" w14:textId="77777777" w:rsidTr="00FF2B09">
        <w:tc>
          <w:tcPr>
            <w:tcW w:w="963" w:type="dxa"/>
            <w:shd w:val="pct10" w:color="auto" w:fill="auto"/>
            <w:vAlign w:val="center"/>
          </w:tcPr>
          <w:p w14:paraId="55293B1B" w14:textId="217E59D5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97" w:type="dxa"/>
          </w:tcPr>
          <w:p w14:paraId="333E63A0" w14:textId="357EE8D3" w:rsidR="002102E2" w:rsidRPr="00205AA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color w:val="002060"/>
                <w:sz w:val="20"/>
                <w:lang w:val="hr-HR"/>
              </w:rPr>
              <w:t xml:space="preserve">I 5: </w:t>
            </w:r>
            <w:r w:rsidRPr="00FF2B09">
              <w:rPr>
                <w:rFonts w:ascii="Cambria" w:hAnsi="Cambria" w:cs="Calibri"/>
                <w:bCs/>
                <w:color w:val="000000"/>
                <w:sz w:val="20"/>
                <w:lang w:val="hr-HR"/>
              </w:rPr>
              <w:t>Opisati i razumjeti kako životinje pronalaze partnere za parenje te koji čimbenici djeluju na skrb za potomke.</w:t>
            </w:r>
          </w:p>
        </w:tc>
        <w:tc>
          <w:tcPr>
            <w:tcW w:w="616" w:type="dxa"/>
            <w:vAlign w:val="center"/>
          </w:tcPr>
          <w:p w14:paraId="29CD5912" w14:textId="7D4DF86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5DECE5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F9EF8C3" w14:textId="189BB09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0BA0ECE" w14:textId="5290D08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587A1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0E9FB74" w14:textId="7EEDA41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2462515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5CD6D6FE" w14:textId="17BF63BF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20FBBB0F" w14:textId="77777777" w:rsidTr="00FF2B09">
        <w:tc>
          <w:tcPr>
            <w:tcW w:w="963" w:type="dxa"/>
            <w:shd w:val="pct10" w:color="auto" w:fill="auto"/>
            <w:vAlign w:val="center"/>
          </w:tcPr>
          <w:p w14:paraId="4AC64813" w14:textId="1463EE5F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97" w:type="dxa"/>
          </w:tcPr>
          <w:p w14:paraId="169B3B8B" w14:textId="7EA9915D" w:rsidR="002102E2" w:rsidRPr="00630907" w:rsidRDefault="00FF2B09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2B09">
              <w:rPr>
                <w:rFonts w:ascii="Cambria" w:hAnsi="Cambria" w:cs="Calibri"/>
                <w:b/>
                <w:bCs/>
                <w:color w:val="000000"/>
                <w:sz w:val="20"/>
                <w:lang w:val="hr-HR"/>
              </w:rPr>
              <w:t>I 6:</w:t>
            </w:r>
            <w:r w:rsidRPr="00FF2B09">
              <w:rPr>
                <w:rFonts w:ascii="Cambria" w:hAnsi="Cambria" w:cs="Calibri"/>
                <w:bCs/>
                <w:color w:val="000000"/>
                <w:sz w:val="20"/>
                <w:lang w:val="hr-HR"/>
              </w:rPr>
              <w:t xml:space="preserve"> Opisati i razumjeti kako čimbenici okoliša utječu na život životinja u skupinama te kako životinje komuniciraju unutar skupine.</w:t>
            </w:r>
          </w:p>
        </w:tc>
        <w:tc>
          <w:tcPr>
            <w:tcW w:w="616" w:type="dxa"/>
            <w:vAlign w:val="center"/>
          </w:tcPr>
          <w:p w14:paraId="33C7DBF1" w14:textId="7B80C890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54D7AA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866304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57F48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04DCBB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13C74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3D08FC3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32802A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6B25260B" w14:textId="77777777" w:rsidTr="00FF2B09">
        <w:tc>
          <w:tcPr>
            <w:tcW w:w="963" w:type="dxa"/>
            <w:shd w:val="pct10" w:color="auto" w:fill="auto"/>
            <w:vAlign w:val="center"/>
          </w:tcPr>
          <w:p w14:paraId="247D00A8" w14:textId="51141063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097" w:type="dxa"/>
          </w:tcPr>
          <w:p w14:paraId="5252E3AD" w14:textId="32EC2195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616" w:type="dxa"/>
            <w:vAlign w:val="center"/>
          </w:tcPr>
          <w:p w14:paraId="6A8EFE67" w14:textId="5C480774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AC2994D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67FD75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1742F0B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13D930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B1212A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F621A42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96396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764D3" w:rsidRPr="00205AA7" w14:paraId="6CF15AC8" w14:textId="77777777" w:rsidTr="00FF2B09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6D578312" w14:textId="3B066F7B" w:rsidR="007764D3" w:rsidRPr="00205AA7" w:rsidRDefault="007764D3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616" w:type="dxa"/>
            <w:vAlign w:val="center"/>
          </w:tcPr>
          <w:p w14:paraId="5A84337C" w14:textId="50F54B53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B806E6" w14:textId="3085AEFF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ED59C7" w14:textId="747E68C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E9A1849" w14:textId="27D3696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3BA31E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CCF9289" w14:textId="3AC4BAD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77ED1175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0DDF5E24" w14:textId="5CC3A944" w:rsidTr="00FF2B09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7379F503" w14:textId="11C13A88" w:rsidR="002102E2" w:rsidRPr="0088777F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616" w:type="dxa"/>
            <w:vAlign w:val="center"/>
          </w:tcPr>
          <w:p w14:paraId="37E7DE8D" w14:textId="514C342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5519B72" w14:textId="7D0D60A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6C53530" w14:textId="3E41CAC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69644EF" w14:textId="2CD68F3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D4F354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18A457DF" w14:textId="523D53D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94187F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65789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66DA059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47C8C6A8" w14:textId="029A1F40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5515DEB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1A82674F" w14:textId="33E9C3DA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341782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430D7F99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16682D20" w14:textId="1007A042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FDF55C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7E4F31C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19F764F7" w14:textId="6241812D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9FA42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254F73E8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732557C7" w14:textId="1BD1F413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67F3E445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741E5322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6A164F91" w14:textId="275CDEAF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258AC1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4A6846F9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A60B9">
              <w:rPr>
                <w:rFonts w:ascii="Cambria" w:hAnsi="Cambria" w:cs="Calibri"/>
                <w:bCs/>
                <w:color w:val="FF0000"/>
                <w:sz w:val="20"/>
                <w:lang w:val="hr-HR"/>
              </w:rPr>
              <w:t>Ovdje unijeti tekst ishoda</w:t>
            </w:r>
          </w:p>
        </w:tc>
        <w:tc>
          <w:tcPr>
            <w:tcW w:w="1615" w:type="dxa"/>
            <w:vAlign w:val="center"/>
          </w:tcPr>
          <w:p w14:paraId="22B5AA59" w14:textId="5AA11AD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E54EF0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F11403F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B245CCF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C991C7B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8E68323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7E41810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132053" w:rsidRPr="001E488F" w14:paraId="06BE3741" w14:textId="54676CD6" w:rsidTr="00ED38CA">
        <w:tc>
          <w:tcPr>
            <w:tcW w:w="880" w:type="dxa"/>
            <w:vAlign w:val="center"/>
          </w:tcPr>
          <w:p w14:paraId="65990956" w14:textId="77777777" w:rsidR="00132053" w:rsidRPr="001E488F" w:rsidRDefault="00132053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  <w:vAlign w:val="center"/>
          </w:tcPr>
          <w:p w14:paraId="3B081E41" w14:textId="07C68FC9" w:rsidR="00132053" w:rsidRPr="001E488F" w:rsidRDefault="007E213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7E2137">
              <w:rPr>
                <w:rFonts w:ascii="Cambria" w:hAnsi="Cambria" w:cs="Calibri"/>
                <w:sz w:val="20"/>
                <w:lang w:val="hr-HR"/>
              </w:rPr>
              <w:t xml:space="preserve">Uvod u etologiju i povijest proučavanja ponašanja životinja </w:t>
            </w:r>
          </w:p>
        </w:tc>
        <w:tc>
          <w:tcPr>
            <w:tcW w:w="821" w:type="dxa"/>
          </w:tcPr>
          <w:p w14:paraId="0E104CB0" w14:textId="3ADFED74" w:rsidR="00132053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417D80AD" w14:textId="16A3340B" w:rsidR="00132053" w:rsidRPr="001E488F" w:rsidRDefault="0013205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EC72842" w14:textId="77777777" w:rsidR="00132053" w:rsidRPr="001E488F" w:rsidRDefault="0013205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08AF8660" w14:textId="59602FA3" w:rsidTr="00D43545">
        <w:tc>
          <w:tcPr>
            <w:tcW w:w="880" w:type="dxa"/>
            <w:vAlign w:val="center"/>
          </w:tcPr>
          <w:p w14:paraId="4A5A7A40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5CFD4146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 xml:space="preserve">Metode u istraživanju ponašanja životinja </w:t>
            </w:r>
          </w:p>
        </w:tc>
        <w:tc>
          <w:tcPr>
            <w:tcW w:w="821" w:type="dxa"/>
          </w:tcPr>
          <w:p w14:paraId="0A141DB0" w14:textId="68951B98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7AC59344" w14:textId="225AA261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A105AE0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03151EF7" w14:textId="407B3B56" w:rsidTr="00D43545">
        <w:tc>
          <w:tcPr>
            <w:tcW w:w="880" w:type="dxa"/>
            <w:vAlign w:val="center"/>
          </w:tcPr>
          <w:p w14:paraId="50C2CF4A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22BFDC6B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Geni i ponašanje</w:t>
            </w:r>
          </w:p>
        </w:tc>
        <w:tc>
          <w:tcPr>
            <w:tcW w:w="821" w:type="dxa"/>
          </w:tcPr>
          <w:p w14:paraId="297CF564" w14:textId="4CA7374D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2F058D93" w14:textId="40C3902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2A024AA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7DE525DB" w14:textId="64AB601A" w:rsidTr="00D43545">
        <w:tc>
          <w:tcPr>
            <w:tcW w:w="880" w:type="dxa"/>
            <w:vAlign w:val="center"/>
          </w:tcPr>
          <w:p w14:paraId="5C51A60C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54032683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Prirodna selekcija i ponašanje</w:t>
            </w:r>
          </w:p>
        </w:tc>
        <w:tc>
          <w:tcPr>
            <w:tcW w:w="821" w:type="dxa"/>
          </w:tcPr>
          <w:p w14:paraId="32ACB86B" w14:textId="6DDD99AC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3AF90297" w14:textId="39DEC808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D92B730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F815EF6" w14:textId="208A7BF0" w:rsidTr="00D43545">
        <w:tc>
          <w:tcPr>
            <w:tcW w:w="880" w:type="dxa"/>
            <w:vAlign w:val="center"/>
          </w:tcPr>
          <w:p w14:paraId="5AEA3BF1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2CA81234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Živčani sustav i ponašanje (neuroetologija)</w:t>
            </w:r>
          </w:p>
        </w:tc>
        <w:tc>
          <w:tcPr>
            <w:tcW w:w="821" w:type="dxa"/>
          </w:tcPr>
          <w:p w14:paraId="51DABE7B" w14:textId="15CA876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16824AEF" w14:textId="272BAEB9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7BC1754F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07AF5C67" w14:textId="47BE50B5" w:rsidTr="009A7CFC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62B91B3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Hormoni i ponašanje (bihevioralna endokrinologija)</w:t>
            </w:r>
          </w:p>
        </w:tc>
        <w:tc>
          <w:tcPr>
            <w:tcW w:w="821" w:type="dxa"/>
          </w:tcPr>
          <w:p w14:paraId="2035F0B7" w14:textId="0F35AC44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  <w:vAlign w:val="center"/>
          </w:tcPr>
          <w:p w14:paraId="35E0AF3C" w14:textId="4FCA5544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B2B1714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7CF4FA88" w14:textId="6F21469C" w:rsidTr="009A7CFC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5708FE0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Učenje u životinja</w:t>
            </w:r>
          </w:p>
        </w:tc>
        <w:tc>
          <w:tcPr>
            <w:tcW w:w="821" w:type="dxa"/>
          </w:tcPr>
          <w:p w14:paraId="1BBFA678" w14:textId="5180F9D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  <w:vAlign w:val="center"/>
          </w:tcPr>
          <w:p w14:paraId="1D9F2256" w14:textId="50605C3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6A9EC1AF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36BB7C26" w14:textId="67794FE2" w:rsidTr="009A7CFC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8.</w:t>
            </w:r>
          </w:p>
        </w:tc>
        <w:tc>
          <w:tcPr>
            <w:tcW w:w="3657" w:type="dxa"/>
          </w:tcPr>
          <w:p w14:paraId="672D9518" w14:textId="1CB504A5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Životinjska kognicija</w:t>
            </w:r>
          </w:p>
        </w:tc>
        <w:tc>
          <w:tcPr>
            <w:tcW w:w="821" w:type="dxa"/>
          </w:tcPr>
          <w:p w14:paraId="265894A4" w14:textId="3139890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  <w:vAlign w:val="center"/>
          </w:tcPr>
          <w:p w14:paraId="5ABD99A0" w14:textId="22620B4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33FA6DDD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9C7BFD1" w14:textId="29558C2E" w:rsidTr="009A7CFC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68220CF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Životinjske migracije</w:t>
            </w:r>
          </w:p>
        </w:tc>
        <w:tc>
          <w:tcPr>
            <w:tcW w:w="821" w:type="dxa"/>
          </w:tcPr>
          <w:p w14:paraId="7046C37A" w14:textId="67815A12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  <w:vAlign w:val="center"/>
          </w:tcPr>
          <w:p w14:paraId="35BC7455" w14:textId="2F4B213C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51EF92D5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3E3CFC02" w14:textId="6EE0D236" w:rsidTr="009A7CFC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08172C7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Mehanizmi orijentacije i navigacije u životinja</w:t>
            </w:r>
          </w:p>
        </w:tc>
        <w:tc>
          <w:tcPr>
            <w:tcW w:w="821" w:type="dxa"/>
          </w:tcPr>
          <w:p w14:paraId="780E1EF7" w14:textId="210F3BB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  <w:tc>
          <w:tcPr>
            <w:tcW w:w="3431" w:type="dxa"/>
            <w:vAlign w:val="center"/>
          </w:tcPr>
          <w:p w14:paraId="46E0EEFB" w14:textId="65C6008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41ED63D8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54D77C65" w14:textId="4B1C239E" w:rsidTr="009A7CFC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585219D6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Traženje hrane</w:t>
            </w:r>
          </w:p>
        </w:tc>
        <w:tc>
          <w:tcPr>
            <w:tcW w:w="821" w:type="dxa"/>
          </w:tcPr>
          <w:p w14:paraId="77FB3F29" w14:textId="403B9192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  <w:vAlign w:val="center"/>
          </w:tcPr>
          <w:p w14:paraId="5E1B3545" w14:textId="50C6DC38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118F4F8D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24026CC4" w14:textId="41EB7DF5" w:rsidTr="009A7CFC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471AD8BE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Antipredatorsko ponašanje</w:t>
            </w:r>
          </w:p>
        </w:tc>
        <w:tc>
          <w:tcPr>
            <w:tcW w:w="821" w:type="dxa"/>
          </w:tcPr>
          <w:p w14:paraId="7942304F" w14:textId="66C62A8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  <w:tc>
          <w:tcPr>
            <w:tcW w:w="3431" w:type="dxa"/>
            <w:vAlign w:val="center"/>
          </w:tcPr>
          <w:p w14:paraId="5F539184" w14:textId="7CB2FA88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024C0084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61AD308" w14:textId="38BC79A2" w:rsidTr="009A7CFC">
        <w:tc>
          <w:tcPr>
            <w:tcW w:w="880" w:type="dxa"/>
            <w:vAlign w:val="center"/>
          </w:tcPr>
          <w:p w14:paraId="0C135FB1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5375CA7B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Odabir partnera (seksualna selekcija)</w:t>
            </w:r>
          </w:p>
        </w:tc>
        <w:tc>
          <w:tcPr>
            <w:tcW w:w="821" w:type="dxa"/>
          </w:tcPr>
          <w:p w14:paraId="0435EB1E" w14:textId="4E3043D3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  <w:vAlign w:val="center"/>
          </w:tcPr>
          <w:p w14:paraId="7455AEAB" w14:textId="7B443F1B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3192FFBD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13FFF96E" w14:textId="6F69D5DE" w:rsidTr="009A7CFC">
        <w:tc>
          <w:tcPr>
            <w:tcW w:w="880" w:type="dxa"/>
            <w:vAlign w:val="center"/>
          </w:tcPr>
          <w:p w14:paraId="1E1E8598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3841D4BD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Skrb za potomstvo i sustavi parenja</w:t>
            </w:r>
          </w:p>
        </w:tc>
        <w:tc>
          <w:tcPr>
            <w:tcW w:w="821" w:type="dxa"/>
          </w:tcPr>
          <w:p w14:paraId="7194CAC8" w14:textId="05A57DA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  <w:vAlign w:val="center"/>
          </w:tcPr>
          <w:p w14:paraId="23B5E431" w14:textId="23899E90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4A3E882E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2137" w:rsidRPr="001E488F" w14:paraId="24B4C472" w14:textId="5BFB2127" w:rsidTr="009A7CFC">
        <w:tc>
          <w:tcPr>
            <w:tcW w:w="880" w:type="dxa"/>
            <w:vAlign w:val="center"/>
          </w:tcPr>
          <w:p w14:paraId="5E10AB54" w14:textId="77777777" w:rsidR="007E2137" w:rsidRPr="001E488F" w:rsidRDefault="007E2137" w:rsidP="007E21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52E4B4A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29FE">
              <w:rPr>
                <w:rFonts w:ascii="Times New Roman" w:hAnsi="Times New Roman"/>
                <w:sz w:val="20"/>
                <w:lang w:val="hr-HR"/>
              </w:rPr>
              <w:t>Život i komunikacija u skupini</w:t>
            </w:r>
          </w:p>
        </w:tc>
        <w:tc>
          <w:tcPr>
            <w:tcW w:w="821" w:type="dxa"/>
          </w:tcPr>
          <w:p w14:paraId="1807363D" w14:textId="7EFC260F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  <w:vAlign w:val="center"/>
          </w:tcPr>
          <w:p w14:paraId="7B2A66C0" w14:textId="74345E01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51" w:type="dxa"/>
          </w:tcPr>
          <w:p w14:paraId="4C33CA35" w14:textId="77777777" w:rsidR="007E2137" w:rsidRPr="001E488F" w:rsidRDefault="007E2137" w:rsidP="007E21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43A3AAEC" w14:textId="77777777" w:rsidR="00F40703" w:rsidRPr="00CA679F" w:rsidRDefault="00F40703" w:rsidP="00CA679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A679F">
              <w:rPr>
                <w:rFonts w:ascii="Cambria" w:hAnsi="Cambria" w:cs="Calibri"/>
                <w:b/>
                <w:sz w:val="20"/>
                <w:lang w:val="hr-HR"/>
              </w:rPr>
              <w:t>Osnovna</w:t>
            </w:r>
            <w:r w:rsidRPr="00CA679F"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14:paraId="78E10A47" w14:textId="10BC9C32" w:rsidR="00F40703" w:rsidRPr="003F3865" w:rsidRDefault="00F40703" w:rsidP="003F3865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L. A. Dugatkin: "Principles of Animal Behavior, 4th ed.", University of Chicago Press, 2020, ISBN:  ‎ 9780226448381, internetska stranica: </w:t>
            </w:r>
            <w:r w:rsidR="003F3865" w:rsidRPr="003F3865">
              <w:rPr>
                <w:rFonts w:ascii="Cambria" w:hAnsi="Cambria" w:cs="Calibri"/>
                <w:sz w:val="20"/>
                <w:lang w:val="hr-HR"/>
              </w:rPr>
              <w:t xml:space="preserve">https://press.uchicago.edu/ucp/books/book/chicago/P/bo34250496.html 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(pristupljeno 10.</w:t>
            </w:r>
            <w:r w:rsidR="003F3865">
              <w:rPr>
                <w:rFonts w:ascii="Cambria" w:hAnsi="Cambria" w:cs="Calibri"/>
                <w:sz w:val="20"/>
                <w:lang w:val="hr-HR"/>
              </w:rPr>
              <w:t>11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.202</w:t>
            </w:r>
            <w:r w:rsidR="003F3865">
              <w:rPr>
                <w:rFonts w:ascii="Cambria" w:hAnsi="Cambria" w:cs="Calibri"/>
                <w:sz w:val="20"/>
                <w:lang w:val="hr-HR"/>
              </w:rPr>
              <w:t>3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.)</w:t>
            </w:r>
          </w:p>
          <w:p w14:paraId="6C54513B" w14:textId="77777777" w:rsidR="00F40703" w:rsidRPr="00CA679F" w:rsidRDefault="00F40703" w:rsidP="00CA679F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CA679F">
              <w:rPr>
                <w:rFonts w:ascii="Cambria" w:hAnsi="Cambria" w:cs="Calibri"/>
                <w:b/>
                <w:sz w:val="20"/>
                <w:lang w:val="hr-HR"/>
              </w:rPr>
              <w:t>Dopunska:</w:t>
            </w:r>
          </w:p>
          <w:p w14:paraId="1D934444" w14:textId="06666B25" w:rsidR="008D0BF3" w:rsidRPr="003F3865" w:rsidRDefault="00F40703" w:rsidP="003F3865">
            <w:pPr>
              <w:autoSpaceDE w:val="0"/>
              <w:autoSpaceDN w:val="0"/>
              <w:adjustRightInd w:val="0"/>
              <w:ind w:left="360"/>
              <w:rPr>
                <w:rFonts w:ascii="Cambria" w:hAnsi="Cambria" w:cs="Calibri"/>
                <w:sz w:val="20"/>
                <w:lang w:val="hr-HR"/>
              </w:rPr>
            </w:pPr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S. E. Nordell, T. J. Valone: "Animal Behavior: Concepts, Methods, and Applications, 3rd ed.", 2020, ISBN: 9780190924232, internetska stranica: </w:t>
            </w:r>
            <w:r w:rsidR="00C772B4" w:rsidRPr="00C772B4">
              <w:rPr>
                <w:rFonts w:ascii="Cambria" w:hAnsi="Cambria" w:cs="Calibri"/>
                <w:sz w:val="20"/>
                <w:lang w:val="hr-HR"/>
              </w:rPr>
              <w:t>https://global.oup.com/ushe/product/animal-behavior-9780190924232?cc=hr&amp;lang=en&amp;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 xml:space="preserve"> (pristupljeno 10.</w:t>
            </w:r>
            <w:r w:rsidR="00C772B4">
              <w:rPr>
                <w:rFonts w:ascii="Cambria" w:hAnsi="Cambria" w:cs="Calibri"/>
                <w:sz w:val="20"/>
                <w:lang w:val="hr-HR"/>
              </w:rPr>
              <w:t>11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.202</w:t>
            </w:r>
            <w:r w:rsidR="00C772B4">
              <w:rPr>
                <w:rFonts w:ascii="Cambria" w:hAnsi="Cambria" w:cs="Calibri"/>
                <w:sz w:val="20"/>
                <w:lang w:val="hr-HR"/>
              </w:rPr>
              <w:t>3</w:t>
            </w:r>
            <w:r w:rsidRPr="003F3865">
              <w:rPr>
                <w:rFonts w:ascii="Cambria" w:hAnsi="Cambria" w:cs="Calibri"/>
                <w:sz w:val="20"/>
                <w:lang w:val="hr-HR"/>
              </w:rPr>
              <w:t>.)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358AA" w14:textId="77777777" w:rsidR="00350F44" w:rsidRDefault="00350F44">
      <w:r>
        <w:separator/>
      </w:r>
    </w:p>
  </w:endnote>
  <w:endnote w:type="continuationSeparator" w:id="0">
    <w:p w14:paraId="128CD1FA" w14:textId="77777777" w:rsidR="00350F44" w:rsidRDefault="0035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4B6" w14:textId="2DBFCF86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8C1DDF">
      <w:rPr>
        <w:noProof/>
        <w:sz w:val="12"/>
        <w:lang w:val="hr-HR"/>
      </w:rPr>
      <w:t>12.11.2023.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8C1DDF">
      <w:rPr>
        <w:noProof/>
        <w:sz w:val="12"/>
      </w:rPr>
      <w:t>8:27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D490" w14:textId="77777777" w:rsidR="00350F44" w:rsidRDefault="00350F44">
      <w:r>
        <w:separator/>
      </w:r>
    </w:p>
  </w:footnote>
  <w:footnote w:type="continuationSeparator" w:id="0">
    <w:p w14:paraId="7636E327" w14:textId="77777777" w:rsidR="00350F44" w:rsidRDefault="0035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C5816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3865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B575F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84C90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4E77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2137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C1DDF"/>
    <w:rsid w:val="008D0BF3"/>
    <w:rsid w:val="008D6260"/>
    <w:rsid w:val="008E7F5A"/>
    <w:rsid w:val="008F5BA4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23A5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C55E0"/>
    <w:rsid w:val="00BD34BF"/>
    <w:rsid w:val="00BD4808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772B4"/>
    <w:rsid w:val="00C95349"/>
    <w:rsid w:val="00C972BF"/>
    <w:rsid w:val="00CA3046"/>
    <w:rsid w:val="00CA679F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4B19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703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0CF4-B184-4885-9444-97A1A0CA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499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Zoran Tadić</cp:lastModifiedBy>
  <cp:revision>7</cp:revision>
  <cp:lastPrinted>2023-05-22T17:27:00Z</cp:lastPrinted>
  <dcterms:created xsi:type="dcterms:W3CDTF">2023-11-12T19:28:00Z</dcterms:created>
  <dcterms:modified xsi:type="dcterms:W3CDTF">2023-11-12T19:34:00Z</dcterms:modified>
</cp:coreProperties>
</file>